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056AA" w14:textId="479006CD" w:rsidR="00144904" w:rsidRPr="00DD05E2" w:rsidRDefault="000934CF" w:rsidP="00144904">
      <w:pPr>
        <w:rPr>
          <w:rFonts w:ascii="Arial" w:hAnsi="Arial" w:cs="Arial"/>
          <w:sz w:val="28"/>
          <w:szCs w:val="28"/>
        </w:rPr>
      </w:pPr>
      <w:r>
        <w:rPr>
          <w:rFonts w:ascii="Arial" w:hAnsi="Arial"/>
          <w:noProof/>
          <w:color w:val="2B579A"/>
          <w:sz w:val="24"/>
          <w:shd w:val="clear" w:color="auto" w:fill="E6E6E6"/>
        </w:rPr>
        <mc:AlternateContent>
          <mc:Choice Requires="wps">
            <w:drawing>
              <wp:anchor distT="0" distB="0" distL="114300" distR="114300" simplePos="0" relativeHeight="251693056" behindDoc="0" locked="0" layoutInCell="1" allowOverlap="1" wp14:anchorId="3A7B7D55" wp14:editId="30D6B489">
                <wp:simplePos x="0" y="0"/>
                <wp:positionH relativeFrom="margin">
                  <wp:posOffset>1227438</wp:posOffset>
                </wp:positionH>
                <wp:positionV relativeFrom="paragraph">
                  <wp:posOffset>-49427</wp:posOffset>
                </wp:positionV>
                <wp:extent cx="3805881" cy="848497"/>
                <wp:effectExtent l="0" t="0" r="4445" b="8890"/>
                <wp:wrapNone/>
                <wp:docPr id="28" name="Parallelogram 28" descr="Learning at a New Job"/>
                <wp:cNvGraphicFramePr/>
                <a:graphic xmlns:a="http://schemas.openxmlformats.org/drawingml/2006/main">
                  <a:graphicData uri="http://schemas.microsoft.com/office/word/2010/wordprocessingShape">
                    <wps:wsp>
                      <wps:cNvSpPr/>
                      <wps:spPr>
                        <a:xfrm>
                          <a:off x="0" y="0"/>
                          <a:ext cx="3805881" cy="848497"/>
                        </a:xfrm>
                        <a:prstGeom prst="parallelogram">
                          <a:avLst/>
                        </a:prstGeom>
                        <a:solidFill>
                          <a:srgbClr val="C31D0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7E529" w14:textId="6BD8A73A" w:rsidR="000934CF" w:rsidRPr="00E047ED" w:rsidRDefault="000934CF" w:rsidP="000934CF">
                            <w:pPr>
                              <w:pStyle w:val="Heading1"/>
                              <w:spacing w:before="0"/>
                              <w:jc w:val="center"/>
                              <w:rPr>
                                <w:color w:val="FFFFFF" w:themeColor="background1"/>
                              </w:rPr>
                            </w:pPr>
                            <w:r w:rsidRPr="00E047ED">
                              <w:rPr>
                                <w:color w:val="FFFFFF" w:themeColor="background1"/>
                                <w:szCs w:val="28"/>
                              </w:rPr>
                              <w:t>Apprendre dans le cadre d’un nouvel emploi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B7D55"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8" o:spid="_x0000_s1026" type="#_x0000_t7" alt="Learning at a New Job" style="position:absolute;margin-left:96.65pt;margin-top:-3.9pt;width:299.7pt;height:66.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" adj="1204" fillcolor="#c31d0c" stroked="f" strokeweight="1pt">
                <v:textbox>
                  <w:txbxContent>
                    <w:p w14:paraId="4AF7E529" w14:textId="6BD8A73A" w:rsidR="000934CF" w:rsidRPr="00E047ED" w:rsidRDefault="000934CF" w:rsidP="000934CF">
                      <w:pPr>
                        <w:pStyle w:val="Heading1"/>
                        <w:spacing w:before="0"/>
                        <w:jc w:val="center"/>
                        <w:rPr>
                          <w:color w:val="FFFFFF" w:themeColor="background1"/>
                        </w:rPr>
                      </w:pPr>
                      <w:r w:rsidRPr="00E047ED">
                        <w:rPr>
                          <w:color w:val="FFFFFF" w:themeColor="background1"/>
                          <w:szCs w:val="28"/>
                        </w:rPr>
                        <w:t>Apprendre dans le cadre d’un nouvel emploi</w:t>
                      </w:r>
                    </w:p>
                  </w:txbxContent>
                </v:textbox>
                <w10:wrap anchorx="margin"/>
              </v:shape>
            </w:pict>
          </mc:Fallback>
        </mc:AlternateContent>
      </w:r>
    </w:p>
    <w:p w14:paraId="1EFE02CF" w14:textId="77777777" w:rsidR="00DD05E2" w:rsidRDefault="006C1F02" w:rsidP="00144904">
      <w:pPr>
        <w:rPr>
          <w:rFonts w:ascii="Arial" w:hAnsi="Arial" w:cs="Arial"/>
          <w:sz w:val="24"/>
          <w:szCs w:val="24"/>
        </w:rPr>
      </w:pPr>
      <w:r>
        <w:rPr>
          <w:rFonts w:ascii="Arial" w:hAnsi="Arial"/>
          <w:sz w:val="24"/>
        </w:rPr>
        <w:br/>
      </w:r>
    </w:p>
    <w:p w14:paraId="61B8C529" w14:textId="059EB5D1" w:rsidR="000934CF" w:rsidRPr="00DD05E2" w:rsidRDefault="002D1E72" w:rsidP="00144904">
      <w:pPr>
        <w:rPr>
          <w:rFonts w:ascii="Arial" w:hAnsi="Arial" w:cs="Arial"/>
          <w:sz w:val="24"/>
          <w:szCs w:val="24"/>
        </w:rPr>
      </w:pPr>
      <w:r>
        <w:rPr>
          <w:rFonts w:ascii="Arial" w:hAnsi="Arial"/>
          <w:sz w:val="24"/>
        </w:rPr>
        <w:t xml:space="preserve">Tous les emplois disposent de processus que nous devons apprendre. Plus vous en saurez sur votre style d’apprentissage, mieux vous pourrez apprendre ce qui vous est demandé. Votre employeur souhaite que vous appreniez ces processus et il </w:t>
      </w:r>
      <w:r w:rsidR="00E047ED">
        <w:rPr>
          <w:rFonts w:ascii="Arial" w:hAnsi="Arial"/>
          <w:sz w:val="24"/>
        </w:rPr>
        <w:t>aimera</w:t>
      </w:r>
      <w:r>
        <w:rPr>
          <w:rFonts w:ascii="Arial" w:hAnsi="Arial"/>
          <w:sz w:val="24"/>
        </w:rPr>
        <w:t xml:space="preserve"> donc que vous défendiez vos besoins en matière d’apprentissage. Il existe plusieurs styles d’apprentissages différents (et nous aimons parfois les combiner), mais vous trouverez ci-dessus quelques conseils pouvant vous aider lorsque vous apprenez dans le cadre d’un nouvel emploi.</w:t>
      </w:r>
      <w:r w:rsidR="00DC2382">
        <w:rPr>
          <w:rFonts w:ascii="Arial" w:hAnsi="Arial"/>
          <w:sz w:val="24"/>
        </w:rPr>
        <w:t xml:space="preserve">  </w:t>
      </w:r>
    </w:p>
    <w:p w14:paraId="1F29C5CF" w14:textId="38236A55" w:rsidR="000F1DA7" w:rsidRPr="00DD05E2" w:rsidRDefault="008E2057" w:rsidP="00144904">
      <w:pPr>
        <w:rPr>
          <w:rFonts w:ascii="Arial" w:hAnsi="Arial" w:cs="Arial"/>
          <w:sz w:val="24"/>
          <w:szCs w:val="24"/>
        </w:rPr>
      </w:pPr>
      <w:r>
        <w:rPr>
          <w:rFonts w:ascii="Arial" w:hAnsi="Arial"/>
          <w:noProof/>
          <w:color w:val="2B579A"/>
          <w:sz w:val="24"/>
          <w:shd w:val="clear" w:color="auto" w:fill="E6E6E6"/>
        </w:rPr>
        <mc:AlternateContent>
          <mc:Choice Requires="wps">
            <w:drawing>
              <wp:inline distT="0" distB="0" distL="0" distR="0" wp14:anchorId="470487B7" wp14:editId="14D6A33C">
                <wp:extent cx="4972050" cy="393700"/>
                <wp:effectExtent l="0" t="0" r="19050" b="25400"/>
                <wp:docPr id="29" name="Rectangle 29" descr="Visual Learning: Learning by sight/ watching"/>
                <wp:cNvGraphicFramePr/>
                <a:graphic xmlns:a="http://schemas.openxmlformats.org/drawingml/2006/main">
                  <a:graphicData uri="http://schemas.microsoft.com/office/word/2010/wordprocessingShape">
                    <wps:wsp>
                      <wps:cNvSpPr/>
                      <wps:spPr>
                        <a:xfrm>
                          <a:off x="0" y="0"/>
                          <a:ext cx="4972050" cy="393700"/>
                        </a:xfrm>
                        <a:prstGeom prst="rect">
                          <a:avLst/>
                        </a:prstGeom>
                        <a:solidFill>
                          <a:srgbClr val="0A2F5B"/>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6FBA40" w14:textId="0D21758C" w:rsidR="00E967AF" w:rsidRPr="00E523FB" w:rsidRDefault="00E967AF" w:rsidP="000F1DA7">
                            <w:pPr>
                              <w:pStyle w:val="Heading2"/>
                              <w:spacing w:before="0"/>
                              <w:jc w:val="center"/>
                              <w:rPr>
                                <w:color w:val="FFFFFF" w:themeColor="background1"/>
                                <w:sz w:val="32"/>
                                <w:szCs w:val="32"/>
                              </w:rPr>
                            </w:pPr>
                            <w:r>
                              <w:rPr>
                                <w:color w:val="FFFFFF" w:themeColor="background1"/>
                                <w:sz w:val="32"/>
                              </w:rPr>
                              <w:t>Apprentissage visuel : Apprendre par la vue/l’observation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0487B7" id="Rectangle 29" o:spid="_x0000_s1027" alt="Visual Learning: Learning by sight/ watching" style="width:391.5pt;height:3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" fillcolor="#0a2f5b" strokecolor="#1f3763 [1604]" strokeweight="1pt">
                <v:textbox>
                  <w:txbxContent>
                    <w:p w14:paraId="656FBA40" w14:textId="0D21758C" w:rsidR="00E967AF" w:rsidRPr="00E523FB" w:rsidRDefault="00E967AF" w:rsidP="000F1DA7">
                      <w:pPr>
                        <w:pStyle w:val="Heading2"/>
                        <w:spacing w:before="0"/>
                        <w:jc w:val="center"/>
                        <w:rPr>
                          <w:color w:val="FFFFFF" w:themeColor="background1"/>
                          <w:sz w:val="32"/>
                          <w:szCs w:val="32"/>
                        </w:rPr>
                      </w:pPr>
                      <w:r>
                        <w:rPr>
                          <w:color w:val="FFFFFF" w:themeColor="background1"/>
                          <w:sz w:val="32"/>
                        </w:rPr>
                        <w:t>Apprentissage visuel : Apprendre par la vue/l’observation</w:t>
                      </w:r>
                    </w:p>
                  </w:txbxContent>
                </v:textbox>
                <w10:anchorlock/>
              </v:rect>
            </w:pict>
          </mc:Fallback>
        </mc:AlternateContent>
      </w:r>
    </w:p>
    <w:p w14:paraId="445366A3" w14:textId="77777777" w:rsidR="006C1F02" w:rsidRPr="00DD05E2" w:rsidRDefault="006418F3" w:rsidP="006C1F02">
      <w:pPr>
        <w:pStyle w:val="ListParagraph"/>
        <w:numPr>
          <w:ilvl w:val="0"/>
          <w:numId w:val="20"/>
        </w:numPr>
        <w:rPr>
          <w:rFonts w:ascii="Arial" w:hAnsi="Arial" w:cs="Arial"/>
          <w:sz w:val="24"/>
          <w:szCs w:val="24"/>
        </w:rPr>
      </w:pPr>
      <w:r>
        <w:rPr>
          <w:rFonts w:ascii="Arial" w:hAnsi="Arial"/>
          <w:sz w:val="24"/>
        </w:rPr>
        <w:t xml:space="preserve">Si vous apprenez plus rapidement en voyant des renseignements tels que des images, des diagrammes, des vidéos ou en observant quelqu’un d’autre, </w:t>
      </w:r>
      <w:r>
        <w:rPr>
          <w:rFonts w:ascii="Arial" w:hAnsi="Arial"/>
          <w:b/>
          <w:sz w:val="24"/>
        </w:rPr>
        <w:t>dites-le à votre formateur(</w:t>
      </w:r>
      <w:proofErr w:type="spellStart"/>
      <w:r>
        <w:rPr>
          <w:rFonts w:ascii="Arial" w:hAnsi="Arial"/>
          <w:b/>
          <w:sz w:val="24"/>
        </w:rPr>
        <w:t>rice</w:t>
      </w:r>
      <w:proofErr w:type="spellEnd"/>
      <w:r>
        <w:rPr>
          <w:rFonts w:ascii="Arial" w:hAnsi="Arial"/>
          <w:b/>
          <w:sz w:val="24"/>
        </w:rPr>
        <w:t>).</w:t>
      </w:r>
      <w:r>
        <w:rPr>
          <w:rFonts w:ascii="Arial" w:hAnsi="Arial"/>
          <w:sz w:val="24"/>
        </w:rPr>
        <w:t xml:space="preserve"> </w:t>
      </w:r>
    </w:p>
    <w:p w14:paraId="5345BC3D" w14:textId="77777777" w:rsidR="006C1F02" w:rsidRPr="00DD05E2" w:rsidRDefault="006418F3" w:rsidP="006C1F02">
      <w:pPr>
        <w:pStyle w:val="ListParagraph"/>
        <w:numPr>
          <w:ilvl w:val="0"/>
          <w:numId w:val="20"/>
        </w:numPr>
        <w:rPr>
          <w:rFonts w:ascii="Arial" w:hAnsi="Arial" w:cs="Arial"/>
          <w:sz w:val="24"/>
          <w:szCs w:val="24"/>
        </w:rPr>
      </w:pPr>
      <w:r>
        <w:rPr>
          <w:rFonts w:ascii="Arial" w:hAnsi="Arial"/>
          <w:sz w:val="24"/>
        </w:rPr>
        <w:t xml:space="preserve">Il/elle peut mettre les renseignements qu’il/elle a en sa possession et qui ne sont pas dans ce format en surbrillance afin que vous puissiez </w:t>
      </w:r>
      <w:r>
        <w:rPr>
          <w:rFonts w:ascii="Arial" w:hAnsi="Arial"/>
          <w:b/>
          <w:sz w:val="24"/>
        </w:rPr>
        <w:t>trouver une alternative.</w:t>
      </w:r>
      <w:r>
        <w:rPr>
          <w:rFonts w:ascii="Arial" w:hAnsi="Arial"/>
          <w:sz w:val="24"/>
        </w:rPr>
        <w:t xml:space="preserve"> </w:t>
      </w:r>
    </w:p>
    <w:p w14:paraId="42726E0D" w14:textId="49774068" w:rsidR="000F1DA7" w:rsidRPr="00DD05E2" w:rsidRDefault="00E047ED" w:rsidP="006C1F02">
      <w:pPr>
        <w:pStyle w:val="ListParagraph"/>
        <w:numPr>
          <w:ilvl w:val="0"/>
          <w:numId w:val="20"/>
        </w:numPr>
        <w:rPr>
          <w:rFonts w:ascii="Arial" w:hAnsi="Arial" w:cs="Arial"/>
          <w:sz w:val="24"/>
          <w:szCs w:val="24"/>
        </w:rPr>
      </w:pPr>
      <w:r>
        <w:rPr>
          <w:rFonts w:ascii="Arial" w:hAnsi="Arial"/>
          <w:sz w:val="24"/>
        </w:rPr>
        <w:t xml:space="preserve">S’il/si </w:t>
      </w:r>
      <w:r w:rsidR="000F3FD3">
        <w:rPr>
          <w:rFonts w:ascii="Arial" w:hAnsi="Arial"/>
          <w:sz w:val="24"/>
        </w:rPr>
        <w:t xml:space="preserve">elle a un processus d’affichage de votre calendrier ou de votre programme uniquement sous forme écrite, </w:t>
      </w:r>
      <w:r w:rsidR="000F3FD3">
        <w:rPr>
          <w:rFonts w:ascii="Arial" w:hAnsi="Arial"/>
          <w:b/>
          <w:sz w:val="24"/>
        </w:rPr>
        <w:t>demandez-lui s</w:t>
      </w:r>
      <w:r>
        <w:rPr>
          <w:rFonts w:ascii="Arial" w:hAnsi="Arial"/>
          <w:b/>
          <w:sz w:val="24"/>
        </w:rPr>
        <w:t>’</w:t>
      </w:r>
      <w:r w:rsidR="000F3FD3">
        <w:rPr>
          <w:rFonts w:ascii="Arial" w:hAnsi="Arial"/>
          <w:b/>
          <w:sz w:val="24"/>
        </w:rPr>
        <w:t>il/</w:t>
      </w:r>
      <w:r>
        <w:rPr>
          <w:rFonts w:ascii="Arial" w:hAnsi="Arial"/>
          <w:b/>
          <w:sz w:val="24"/>
        </w:rPr>
        <w:t xml:space="preserve">si </w:t>
      </w:r>
      <w:r w:rsidR="000F3FD3">
        <w:rPr>
          <w:rFonts w:ascii="Arial" w:hAnsi="Arial"/>
          <w:b/>
          <w:sz w:val="24"/>
        </w:rPr>
        <w:t>elle peut vous guider</w:t>
      </w:r>
      <w:r w:rsidR="000F3FD3">
        <w:rPr>
          <w:rFonts w:ascii="Arial" w:hAnsi="Arial"/>
          <w:sz w:val="24"/>
        </w:rPr>
        <w:t xml:space="preserve"> et sortir le système pour que vous puissiez accéder à ces renseignements.</w:t>
      </w:r>
    </w:p>
    <w:p w14:paraId="07AE16F0" w14:textId="1D0F479A" w:rsidR="002C72B2" w:rsidRPr="00DD05E2" w:rsidRDefault="002C72B2" w:rsidP="00144904">
      <w:pPr>
        <w:rPr>
          <w:rFonts w:ascii="Arial" w:hAnsi="Arial" w:cs="Arial"/>
          <w:sz w:val="24"/>
          <w:szCs w:val="24"/>
        </w:rPr>
      </w:pPr>
      <w:r>
        <w:rPr>
          <w:rFonts w:ascii="Arial" w:hAnsi="Arial"/>
          <w:noProof/>
          <w:color w:val="2B579A"/>
          <w:sz w:val="24"/>
          <w:shd w:val="clear" w:color="auto" w:fill="E6E6E6"/>
        </w:rPr>
        <mc:AlternateContent>
          <mc:Choice Requires="wps">
            <w:drawing>
              <wp:inline distT="0" distB="0" distL="0" distR="0" wp14:anchorId="6489A31F" wp14:editId="4BDF8F61">
                <wp:extent cx="4972050" cy="361950"/>
                <wp:effectExtent l="0" t="0" r="19050" b="19050"/>
                <wp:docPr id="30" name="Rectangle 30" descr="Auditory Learning: Learn by hearing"/>
                <wp:cNvGraphicFramePr/>
                <a:graphic xmlns:a="http://schemas.openxmlformats.org/drawingml/2006/main">
                  <a:graphicData uri="http://schemas.microsoft.com/office/word/2010/wordprocessingShape">
                    <wps:wsp>
                      <wps:cNvSpPr/>
                      <wps:spPr>
                        <a:xfrm>
                          <a:off x="0" y="0"/>
                          <a:ext cx="4972050" cy="361950"/>
                        </a:xfrm>
                        <a:prstGeom prst="rect">
                          <a:avLst/>
                        </a:prstGeom>
                        <a:solidFill>
                          <a:srgbClr val="0A2F5B"/>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B2B900" w14:textId="261E2575" w:rsidR="002C72B2" w:rsidRPr="00E523FB" w:rsidRDefault="002C72B2" w:rsidP="002C72B2">
                            <w:pPr>
                              <w:pStyle w:val="Heading2"/>
                              <w:spacing w:before="0"/>
                              <w:jc w:val="center"/>
                              <w:rPr>
                                <w:color w:val="FFFFFF" w:themeColor="background1"/>
                                <w:sz w:val="32"/>
                                <w:szCs w:val="32"/>
                              </w:rPr>
                            </w:pPr>
                            <w:r>
                              <w:rPr>
                                <w:color w:val="FFFFFF" w:themeColor="background1"/>
                                <w:sz w:val="32"/>
                              </w:rPr>
                              <w:t>Apprentissage auditif : Apprendre en écoutant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89A31F" id="Rectangle 30" o:spid="_x0000_s1028" alt="Auditory Learning: Learn by hearing" style="width:391.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" fillcolor="#0a2f5b" strokecolor="#1f3763 [1604]" strokeweight="1pt">
                <v:textbox>
                  <w:txbxContent>
                    <w:p w14:paraId="3CB2B900" w14:textId="261E2575" w:rsidR="002C72B2" w:rsidRPr="00E523FB" w:rsidRDefault="002C72B2" w:rsidP="002C72B2">
                      <w:pPr>
                        <w:pStyle w:val="Heading2"/>
                        <w:spacing w:before="0"/>
                        <w:jc w:val="center"/>
                        <w:rPr>
                          <w:color w:val="FFFFFF" w:themeColor="background1"/>
                          <w:sz w:val="32"/>
                          <w:szCs w:val="32"/>
                        </w:rPr>
                      </w:pPr>
                      <w:r>
                        <w:rPr>
                          <w:color w:val="FFFFFF" w:themeColor="background1"/>
                          <w:sz w:val="32"/>
                        </w:rPr>
                        <w:t>Apprentissage auditif : Apprendre en écoutant</w:t>
                      </w:r>
                    </w:p>
                  </w:txbxContent>
                </v:textbox>
                <w10:anchorlock/>
              </v:rect>
            </w:pict>
          </mc:Fallback>
        </mc:AlternateContent>
      </w:r>
    </w:p>
    <w:p w14:paraId="669E7257" w14:textId="77777777" w:rsidR="002100FE" w:rsidRPr="00DD05E2" w:rsidRDefault="002C72B2" w:rsidP="002100FE">
      <w:pPr>
        <w:pStyle w:val="ListParagraph"/>
        <w:numPr>
          <w:ilvl w:val="0"/>
          <w:numId w:val="21"/>
        </w:numPr>
        <w:rPr>
          <w:rFonts w:ascii="Arial" w:hAnsi="Arial" w:cs="Arial"/>
          <w:sz w:val="24"/>
          <w:szCs w:val="24"/>
        </w:rPr>
      </w:pPr>
      <w:r>
        <w:rPr>
          <w:rFonts w:ascii="Arial" w:hAnsi="Arial"/>
          <w:sz w:val="24"/>
        </w:rPr>
        <w:t xml:space="preserve">Si vous préférez écouter les renseignements, il y a plusieurs choses que vous pouvez faire pour vous faciliter la tâche lorsque vous apprenez un nouveau métier. </w:t>
      </w:r>
    </w:p>
    <w:p w14:paraId="69D0D1A8" w14:textId="77777777" w:rsidR="002100FE" w:rsidRPr="00DD05E2" w:rsidRDefault="000C468F" w:rsidP="002100FE">
      <w:pPr>
        <w:pStyle w:val="ListParagraph"/>
        <w:numPr>
          <w:ilvl w:val="0"/>
          <w:numId w:val="21"/>
        </w:numPr>
        <w:rPr>
          <w:rFonts w:ascii="Arial" w:hAnsi="Arial" w:cs="Arial"/>
          <w:sz w:val="24"/>
          <w:szCs w:val="24"/>
        </w:rPr>
      </w:pPr>
      <w:r>
        <w:rPr>
          <w:rFonts w:ascii="Arial" w:hAnsi="Arial"/>
          <w:b/>
          <w:sz w:val="24"/>
        </w:rPr>
        <w:t xml:space="preserve">Apportez des écouteurs : </w:t>
      </w:r>
      <w:r>
        <w:rPr>
          <w:rFonts w:ascii="Arial" w:hAnsi="Arial"/>
          <w:sz w:val="24"/>
        </w:rPr>
        <w:t xml:space="preserve">si les renseignements sont numériques, vous pouvez utiliser une extension Chrome ou une application comme </w:t>
      </w:r>
      <w:proofErr w:type="spellStart"/>
      <w:r>
        <w:rPr>
          <w:rFonts w:ascii="Arial" w:hAnsi="Arial"/>
          <w:b/>
          <w:sz w:val="24"/>
        </w:rPr>
        <w:t>ReadAloud</w:t>
      </w:r>
      <w:proofErr w:type="spellEnd"/>
      <w:r>
        <w:rPr>
          <w:rFonts w:ascii="Arial" w:hAnsi="Arial"/>
          <w:b/>
          <w:sz w:val="24"/>
        </w:rPr>
        <w:t xml:space="preserve"> </w:t>
      </w:r>
      <w:r>
        <w:rPr>
          <w:rFonts w:ascii="Arial" w:hAnsi="Arial"/>
          <w:sz w:val="24"/>
        </w:rPr>
        <w:t xml:space="preserve">pour vous les lire. </w:t>
      </w:r>
    </w:p>
    <w:p w14:paraId="6E3AA90C" w14:textId="67956857" w:rsidR="002C72B2" w:rsidRPr="00DD05E2" w:rsidRDefault="00C343D4" w:rsidP="002100FE">
      <w:pPr>
        <w:pStyle w:val="ListParagraph"/>
        <w:numPr>
          <w:ilvl w:val="0"/>
          <w:numId w:val="21"/>
        </w:numPr>
        <w:rPr>
          <w:rFonts w:ascii="Arial" w:hAnsi="Arial" w:cs="Arial"/>
          <w:sz w:val="24"/>
          <w:szCs w:val="24"/>
        </w:rPr>
      </w:pPr>
      <w:r>
        <w:rPr>
          <w:rFonts w:ascii="Arial" w:hAnsi="Arial"/>
          <w:sz w:val="24"/>
        </w:rPr>
        <w:t xml:space="preserve">Si vous aimez les lire à haute voix pour vous-même, lorsque vous devez lire une politique ou un manuel, </w:t>
      </w:r>
      <w:r>
        <w:rPr>
          <w:rFonts w:ascii="Arial" w:hAnsi="Arial"/>
          <w:b/>
          <w:sz w:val="24"/>
        </w:rPr>
        <w:t>demandez un espace où vous pourrez le faire sans déranger les autres.</w:t>
      </w:r>
    </w:p>
    <w:p w14:paraId="277F5BDB" w14:textId="408F1BEB" w:rsidR="00C343D4" w:rsidRPr="00DD05E2" w:rsidRDefault="00C343D4" w:rsidP="00144904">
      <w:pPr>
        <w:rPr>
          <w:rFonts w:ascii="Arial" w:hAnsi="Arial" w:cs="Arial"/>
          <w:sz w:val="24"/>
          <w:szCs w:val="24"/>
        </w:rPr>
      </w:pPr>
      <w:r>
        <w:rPr>
          <w:rFonts w:ascii="Arial" w:hAnsi="Arial"/>
          <w:noProof/>
          <w:color w:val="2B579A"/>
          <w:sz w:val="24"/>
          <w:shd w:val="clear" w:color="auto" w:fill="E6E6E6"/>
        </w:rPr>
        <mc:AlternateContent>
          <mc:Choice Requires="wps">
            <w:drawing>
              <wp:inline distT="0" distB="0" distL="0" distR="0" wp14:anchorId="449F3787" wp14:editId="7162ACB9">
                <wp:extent cx="4972050" cy="361950"/>
                <wp:effectExtent l="0" t="0" r="19050" b="19050"/>
                <wp:docPr id="32" name="Rectangle 32" descr="Tactile Learning: Learn by touch"/>
                <wp:cNvGraphicFramePr/>
                <a:graphic xmlns:a="http://schemas.openxmlformats.org/drawingml/2006/main">
                  <a:graphicData uri="http://schemas.microsoft.com/office/word/2010/wordprocessingShape">
                    <wps:wsp>
                      <wps:cNvSpPr/>
                      <wps:spPr>
                        <a:xfrm>
                          <a:off x="0" y="0"/>
                          <a:ext cx="4972050" cy="361950"/>
                        </a:xfrm>
                        <a:prstGeom prst="rect">
                          <a:avLst/>
                        </a:prstGeom>
                        <a:solidFill>
                          <a:srgbClr val="0A2F5B"/>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2E3B54" w14:textId="15FF71F7" w:rsidR="00C343D4" w:rsidRPr="00E523FB" w:rsidRDefault="00C343D4" w:rsidP="00C343D4">
                            <w:pPr>
                              <w:pStyle w:val="Heading2"/>
                              <w:spacing w:before="0"/>
                              <w:jc w:val="center"/>
                              <w:rPr>
                                <w:color w:val="FFFFFF" w:themeColor="background1"/>
                                <w:sz w:val="32"/>
                                <w:szCs w:val="32"/>
                              </w:rPr>
                            </w:pPr>
                            <w:r>
                              <w:rPr>
                                <w:color w:val="FFFFFF" w:themeColor="background1"/>
                                <w:sz w:val="32"/>
                              </w:rPr>
                              <w:t>Apprentissage kinesthésique : Apprendre en touchant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9F3787" id="Rectangle 32" o:spid="_x0000_s1029" alt="Tactile Learning: Learn by touch" style="width:391.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" fillcolor="#0a2f5b" strokecolor="#1f3763 [1604]" strokeweight="1pt">
                <v:textbox>
                  <w:txbxContent>
                    <w:p w14:paraId="552E3B54" w14:textId="15FF71F7" w:rsidR="00C343D4" w:rsidRPr="00E523FB" w:rsidRDefault="00C343D4" w:rsidP="00C343D4">
                      <w:pPr>
                        <w:pStyle w:val="Heading2"/>
                        <w:spacing w:before="0"/>
                        <w:jc w:val="center"/>
                        <w:rPr>
                          <w:color w:val="FFFFFF" w:themeColor="background1"/>
                          <w:sz w:val="32"/>
                          <w:szCs w:val="32"/>
                        </w:rPr>
                      </w:pPr>
                      <w:r>
                        <w:rPr>
                          <w:color w:val="FFFFFF" w:themeColor="background1"/>
                          <w:sz w:val="32"/>
                        </w:rPr>
                        <w:t>Apprentissage kinesthésique : Apprendre en touchant</w:t>
                      </w:r>
                    </w:p>
                  </w:txbxContent>
                </v:textbox>
                <w10:anchorlock/>
              </v:rect>
            </w:pict>
          </mc:Fallback>
        </mc:AlternateContent>
      </w:r>
    </w:p>
    <w:p w14:paraId="31183B09" w14:textId="77777777" w:rsidR="00E523FB" w:rsidRPr="00DD05E2" w:rsidRDefault="00C343D4" w:rsidP="002100FE">
      <w:pPr>
        <w:pStyle w:val="ListParagraph"/>
        <w:numPr>
          <w:ilvl w:val="0"/>
          <w:numId w:val="22"/>
        </w:numPr>
        <w:rPr>
          <w:rFonts w:ascii="Arial" w:hAnsi="Arial" w:cs="Arial"/>
          <w:sz w:val="24"/>
          <w:szCs w:val="24"/>
        </w:rPr>
      </w:pPr>
      <w:r>
        <w:rPr>
          <w:rFonts w:ascii="Arial" w:hAnsi="Arial"/>
          <w:sz w:val="24"/>
        </w:rPr>
        <w:t>Si vous êtes le genre de personne qui a besoin de pratiquer pour assimiler un processus, faites-le savoir à votre formateur(</w:t>
      </w:r>
      <w:proofErr w:type="spellStart"/>
      <w:r>
        <w:rPr>
          <w:rFonts w:ascii="Arial" w:hAnsi="Arial"/>
          <w:sz w:val="24"/>
        </w:rPr>
        <w:t>rice</w:t>
      </w:r>
      <w:proofErr w:type="spellEnd"/>
      <w:r>
        <w:rPr>
          <w:rFonts w:ascii="Arial" w:hAnsi="Arial"/>
          <w:sz w:val="24"/>
        </w:rPr>
        <w:t xml:space="preserve">). De cette façon, </w:t>
      </w:r>
      <w:r>
        <w:rPr>
          <w:rFonts w:ascii="Arial" w:hAnsi="Arial"/>
          <w:b/>
          <w:sz w:val="24"/>
        </w:rPr>
        <w:t xml:space="preserve">avant de passer à l’étape suivante après une démonstration, vous pouvez faire une </w:t>
      </w:r>
      <w:r>
        <w:rPr>
          <w:rFonts w:ascii="Arial" w:hAnsi="Arial"/>
          <w:b/>
          <w:sz w:val="24"/>
        </w:rPr>
        <w:lastRenderedPageBreak/>
        <w:t>pause et reprendre cette démonstration par vous-même pendant que votre formateur(</w:t>
      </w:r>
      <w:proofErr w:type="spellStart"/>
      <w:r>
        <w:rPr>
          <w:rFonts w:ascii="Arial" w:hAnsi="Arial"/>
          <w:b/>
          <w:sz w:val="24"/>
        </w:rPr>
        <w:t>rice</w:t>
      </w:r>
      <w:proofErr w:type="spellEnd"/>
      <w:r>
        <w:rPr>
          <w:rFonts w:ascii="Arial" w:hAnsi="Arial"/>
          <w:b/>
          <w:sz w:val="24"/>
        </w:rPr>
        <w:t xml:space="preserve">) vous observe </w:t>
      </w:r>
      <w:r>
        <w:rPr>
          <w:rFonts w:ascii="Arial" w:hAnsi="Arial"/>
          <w:sz w:val="24"/>
        </w:rPr>
        <w:t xml:space="preserve">tout en s’assurant que vous êtes sur la bonne voie. </w:t>
      </w:r>
    </w:p>
    <w:p w14:paraId="7F2D202B" w14:textId="77777777" w:rsidR="00E523FB" w:rsidRPr="00DD05E2" w:rsidRDefault="00764A30" w:rsidP="002100FE">
      <w:pPr>
        <w:pStyle w:val="ListParagraph"/>
        <w:numPr>
          <w:ilvl w:val="0"/>
          <w:numId w:val="22"/>
        </w:numPr>
        <w:rPr>
          <w:rFonts w:ascii="Arial" w:hAnsi="Arial" w:cs="Arial"/>
          <w:sz w:val="24"/>
          <w:szCs w:val="24"/>
        </w:rPr>
      </w:pPr>
      <w:r>
        <w:rPr>
          <w:rFonts w:ascii="Arial" w:hAnsi="Arial"/>
          <w:sz w:val="24"/>
        </w:rPr>
        <w:t xml:space="preserve">À partir de là, il/elle peut définir un temps et </w:t>
      </w:r>
      <w:r>
        <w:rPr>
          <w:rFonts w:ascii="Arial" w:hAnsi="Arial"/>
          <w:b/>
          <w:sz w:val="24"/>
        </w:rPr>
        <w:t>vous accompagner verbalement tout au long du processus pendant que vous l’effectuez par vous-même.</w:t>
      </w:r>
      <w:r>
        <w:rPr>
          <w:rFonts w:ascii="Arial" w:hAnsi="Arial"/>
          <w:sz w:val="24"/>
        </w:rPr>
        <w:t xml:space="preserve"> </w:t>
      </w:r>
    </w:p>
    <w:p w14:paraId="66076E5D" w14:textId="09A05448" w:rsidR="00842E2B" w:rsidRPr="00DD05E2" w:rsidRDefault="00097E0E" w:rsidP="00DD05E2">
      <w:pPr>
        <w:pStyle w:val="ListParagraph"/>
        <w:numPr>
          <w:ilvl w:val="0"/>
          <w:numId w:val="22"/>
        </w:numPr>
        <w:rPr>
          <w:rFonts w:ascii="Arial" w:hAnsi="Arial" w:cs="Arial"/>
          <w:sz w:val="24"/>
          <w:szCs w:val="24"/>
        </w:rPr>
      </w:pPr>
      <w:r>
        <w:rPr>
          <w:rFonts w:ascii="Arial" w:hAnsi="Arial"/>
          <w:sz w:val="24"/>
        </w:rPr>
        <w:t xml:space="preserve">Vous pouvez également </w:t>
      </w:r>
      <w:r>
        <w:rPr>
          <w:rFonts w:ascii="Arial" w:hAnsi="Arial"/>
          <w:b/>
          <w:sz w:val="24"/>
        </w:rPr>
        <w:t>demander s’il y a une personne sur le lieu de travail qui peut vous observer</w:t>
      </w:r>
      <w:r>
        <w:rPr>
          <w:rFonts w:ascii="Arial" w:hAnsi="Arial"/>
          <w:sz w:val="24"/>
        </w:rPr>
        <w:t xml:space="preserve"> pendant que vous mettez en application certains processus et vous guider alors que vous les apprenez.</w:t>
      </w:r>
    </w:p>
    <w:sectPr w:rsidR="00842E2B" w:rsidRPr="00DD05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C6A3C" w14:textId="77777777" w:rsidR="00486EF6" w:rsidRDefault="00486EF6" w:rsidP="00557EAB">
      <w:pPr>
        <w:spacing w:after="0" w:line="240" w:lineRule="auto"/>
      </w:pPr>
      <w:r>
        <w:separator/>
      </w:r>
    </w:p>
  </w:endnote>
  <w:endnote w:type="continuationSeparator" w:id="0">
    <w:p w14:paraId="0166B3F7" w14:textId="77777777" w:rsidR="00486EF6" w:rsidRDefault="00486EF6" w:rsidP="00557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ssistant">
    <w:altName w:val="Assistant"/>
    <w:charset w:val="B1"/>
    <w:family w:val="auto"/>
    <w:pitch w:val="variable"/>
    <w:sig w:usb0="A00008FF" w:usb1="4000204B" w:usb2="00000000" w:usb3="00000000" w:csb0="0000002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8BD9" w14:textId="77777777" w:rsidR="00E047ED" w:rsidRDefault="00E04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1034" w14:textId="77777777" w:rsidR="00557EAB" w:rsidRPr="00DD05E2" w:rsidRDefault="00557EAB" w:rsidP="00557EAB">
    <w:pPr>
      <w:pStyle w:val="Footer"/>
      <w:jc w:val="center"/>
      <w:rPr>
        <w:rFonts w:ascii="Arial" w:hAnsi="Arial" w:cs="Arial"/>
        <w:sz w:val="24"/>
        <w:szCs w:val="24"/>
      </w:rPr>
    </w:pPr>
    <w:r>
      <w:rPr>
        <w:rFonts w:ascii="Arial" w:hAnsi="Arial"/>
        <w:sz w:val="24"/>
      </w:rPr>
      <w:t xml:space="preserve">CCRT </w:t>
    </w:r>
  </w:p>
  <w:p w14:paraId="4FFA50F8" w14:textId="614B87E6" w:rsidR="00557EAB" w:rsidRPr="00DD05E2" w:rsidRDefault="00557EAB" w:rsidP="00557EAB">
    <w:pPr>
      <w:pStyle w:val="Footer"/>
      <w:jc w:val="center"/>
      <w:rPr>
        <w:rFonts w:ascii="Arial" w:hAnsi="Arial" w:cs="Arial"/>
        <w:sz w:val="24"/>
        <w:szCs w:val="24"/>
      </w:rPr>
    </w:pPr>
    <w:r>
      <w:rPr>
        <w:rFonts w:ascii="Arial" w:hAnsi="Arial"/>
        <w:sz w:val="24"/>
      </w:rPr>
      <w:t>(416) 260-3060 | info@ccrw.org | www.ccrw.org</w:t>
    </w:r>
  </w:p>
  <w:p w14:paraId="4CD3546D" w14:textId="3539BEDD" w:rsidR="00557EAB" w:rsidRPr="004E0008" w:rsidRDefault="00557EAB" w:rsidP="00557EAB">
    <w:pPr>
      <w:pStyle w:val="Footer"/>
      <w:jc w:val="center"/>
      <w:rPr>
        <w:rFonts w:ascii="Arial" w:hAnsi="Arial" w:cs="Arial"/>
        <w:sz w:val="24"/>
        <w:szCs w:val="24"/>
        <w:lang w:val="en-GB"/>
      </w:rPr>
    </w:pPr>
    <w:r w:rsidRPr="004E0008">
      <w:rPr>
        <w:rFonts w:ascii="Arial" w:hAnsi="Arial"/>
        <w:sz w:val="24"/>
        <w:lang w:val="en-GB"/>
      </w:rPr>
      <w:t>477 Mount Pleasant Road, Suite 105 | Toronto, ON | M4S 2L9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6C9A" w14:textId="77777777" w:rsidR="00E047ED" w:rsidRDefault="00E04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EB5BC" w14:textId="77777777" w:rsidR="00486EF6" w:rsidRDefault="00486EF6" w:rsidP="00557EAB">
      <w:pPr>
        <w:spacing w:after="0" w:line="240" w:lineRule="auto"/>
      </w:pPr>
      <w:r>
        <w:separator/>
      </w:r>
    </w:p>
  </w:footnote>
  <w:footnote w:type="continuationSeparator" w:id="0">
    <w:p w14:paraId="3AD60C88" w14:textId="77777777" w:rsidR="00486EF6" w:rsidRDefault="00486EF6" w:rsidP="00557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F1F8" w14:textId="77777777" w:rsidR="00E047ED" w:rsidRDefault="00E04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E004" w14:textId="60541CBB" w:rsidR="003853CD" w:rsidRDefault="003853CD" w:rsidP="003853CD">
    <w:pPr>
      <w:pStyle w:val="Header"/>
      <w:jc w:val="center"/>
    </w:pPr>
    <w:r>
      <w:rPr>
        <w:noProof/>
        <w:color w:val="2B579A"/>
        <w:shd w:val="clear" w:color="auto" w:fill="E6E6E6"/>
      </w:rPr>
      <w:drawing>
        <wp:inline distT="0" distB="0" distL="0" distR="0" wp14:anchorId="15DF1C7C" wp14:editId="2B547FC3">
          <wp:extent cx="1409700" cy="408903"/>
          <wp:effectExtent l="0" t="0" r="0" b="0"/>
          <wp:docPr id="5" name="Picture 5" descr="CCR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CRW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721" cy="4147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6088" w14:textId="77777777" w:rsidR="00E047ED" w:rsidRDefault="00E04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4D92"/>
    <w:multiLevelType w:val="hybridMultilevel"/>
    <w:tmpl w:val="4C5E08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433E6D"/>
    <w:multiLevelType w:val="hybridMultilevel"/>
    <w:tmpl w:val="2A402A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48612C"/>
    <w:multiLevelType w:val="hybridMultilevel"/>
    <w:tmpl w:val="74A0A616"/>
    <w:lvl w:ilvl="0" w:tplc="10090001">
      <w:start w:val="1"/>
      <w:numFmt w:val="bullet"/>
      <w:lvlText w:val=""/>
      <w:lvlJc w:val="left"/>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88A0237"/>
    <w:multiLevelType w:val="hybridMultilevel"/>
    <w:tmpl w:val="62DAA5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522EED"/>
    <w:multiLevelType w:val="hybridMultilevel"/>
    <w:tmpl w:val="CBCA9A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F644794"/>
    <w:multiLevelType w:val="hybridMultilevel"/>
    <w:tmpl w:val="9D02E49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5BF24C8"/>
    <w:multiLevelType w:val="hybridMultilevel"/>
    <w:tmpl w:val="A5122678"/>
    <w:lvl w:ilvl="0" w:tplc="E648D9DC">
      <w:start w:val="1"/>
      <w:numFmt w:val="bullet"/>
      <w:lvlText w:val=""/>
      <w:lvlJc w:val="left"/>
      <w:pPr>
        <w:ind w:left="720" w:hanging="360"/>
      </w:pPr>
      <w:rPr>
        <w:rFonts w:ascii="Wingdings 2" w:hAnsi="Wingdings 2"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BC54572"/>
    <w:multiLevelType w:val="hybridMultilevel"/>
    <w:tmpl w:val="BA4C8412"/>
    <w:lvl w:ilvl="0" w:tplc="1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F2530C"/>
    <w:multiLevelType w:val="hybridMultilevel"/>
    <w:tmpl w:val="8E40D6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1DD6E26"/>
    <w:multiLevelType w:val="hybridMultilevel"/>
    <w:tmpl w:val="C804D3E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45046235"/>
    <w:multiLevelType w:val="hybridMultilevel"/>
    <w:tmpl w:val="A36E1C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6377A58"/>
    <w:multiLevelType w:val="hybridMultilevel"/>
    <w:tmpl w:val="523AF3A2"/>
    <w:lvl w:ilvl="0" w:tplc="10090001">
      <w:start w:val="1"/>
      <w:numFmt w:val="bullet"/>
      <w:lvlText w:val=""/>
      <w:lvlJc w:val="left"/>
      <w:rPr>
        <w:rFonts w:ascii="Symbol" w:hAnsi="Symbol" w:hint="default"/>
      </w:rPr>
    </w:lvl>
    <w:lvl w:ilvl="1" w:tplc="10090003" w:tentative="1">
      <w:start w:val="1"/>
      <w:numFmt w:val="bullet"/>
      <w:lvlText w:val="o"/>
      <w:lvlJc w:val="left"/>
      <w:pPr>
        <w:ind w:left="0" w:hanging="360"/>
      </w:pPr>
      <w:rPr>
        <w:rFonts w:ascii="Courier New" w:hAnsi="Courier New" w:cs="Courier New" w:hint="default"/>
      </w:rPr>
    </w:lvl>
    <w:lvl w:ilvl="2" w:tplc="10090005" w:tentative="1">
      <w:start w:val="1"/>
      <w:numFmt w:val="bullet"/>
      <w:lvlText w:val=""/>
      <w:lvlJc w:val="left"/>
      <w:pPr>
        <w:ind w:left="720" w:hanging="360"/>
      </w:pPr>
      <w:rPr>
        <w:rFonts w:ascii="Wingdings" w:hAnsi="Wingdings" w:hint="default"/>
      </w:rPr>
    </w:lvl>
    <w:lvl w:ilvl="3" w:tplc="10090001" w:tentative="1">
      <w:start w:val="1"/>
      <w:numFmt w:val="bullet"/>
      <w:lvlText w:val=""/>
      <w:lvlJc w:val="left"/>
      <w:pPr>
        <w:ind w:left="1440" w:hanging="360"/>
      </w:pPr>
      <w:rPr>
        <w:rFonts w:ascii="Symbol" w:hAnsi="Symbol" w:hint="default"/>
      </w:rPr>
    </w:lvl>
    <w:lvl w:ilvl="4" w:tplc="10090003" w:tentative="1">
      <w:start w:val="1"/>
      <w:numFmt w:val="bullet"/>
      <w:lvlText w:val="o"/>
      <w:lvlJc w:val="left"/>
      <w:pPr>
        <w:ind w:left="2160" w:hanging="360"/>
      </w:pPr>
      <w:rPr>
        <w:rFonts w:ascii="Courier New" w:hAnsi="Courier New" w:cs="Courier New" w:hint="default"/>
      </w:rPr>
    </w:lvl>
    <w:lvl w:ilvl="5" w:tplc="10090005" w:tentative="1">
      <w:start w:val="1"/>
      <w:numFmt w:val="bullet"/>
      <w:lvlText w:val=""/>
      <w:lvlJc w:val="left"/>
      <w:pPr>
        <w:ind w:left="2880" w:hanging="360"/>
      </w:pPr>
      <w:rPr>
        <w:rFonts w:ascii="Wingdings" w:hAnsi="Wingdings" w:hint="default"/>
      </w:rPr>
    </w:lvl>
    <w:lvl w:ilvl="6" w:tplc="10090001" w:tentative="1">
      <w:start w:val="1"/>
      <w:numFmt w:val="bullet"/>
      <w:lvlText w:val=""/>
      <w:lvlJc w:val="left"/>
      <w:pPr>
        <w:ind w:left="3600" w:hanging="360"/>
      </w:pPr>
      <w:rPr>
        <w:rFonts w:ascii="Symbol" w:hAnsi="Symbol" w:hint="default"/>
      </w:rPr>
    </w:lvl>
    <w:lvl w:ilvl="7" w:tplc="10090003" w:tentative="1">
      <w:start w:val="1"/>
      <w:numFmt w:val="bullet"/>
      <w:lvlText w:val="o"/>
      <w:lvlJc w:val="left"/>
      <w:pPr>
        <w:ind w:left="4320" w:hanging="360"/>
      </w:pPr>
      <w:rPr>
        <w:rFonts w:ascii="Courier New" w:hAnsi="Courier New" w:cs="Courier New" w:hint="default"/>
      </w:rPr>
    </w:lvl>
    <w:lvl w:ilvl="8" w:tplc="10090005" w:tentative="1">
      <w:start w:val="1"/>
      <w:numFmt w:val="bullet"/>
      <w:lvlText w:val=""/>
      <w:lvlJc w:val="left"/>
      <w:pPr>
        <w:ind w:left="5040" w:hanging="360"/>
      </w:pPr>
      <w:rPr>
        <w:rFonts w:ascii="Wingdings" w:hAnsi="Wingdings" w:hint="default"/>
      </w:rPr>
    </w:lvl>
  </w:abstractNum>
  <w:abstractNum w:abstractNumId="12" w15:restartNumberingAfterBreak="0">
    <w:nsid w:val="48C6146C"/>
    <w:multiLevelType w:val="hybridMultilevel"/>
    <w:tmpl w:val="3E8C082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4BB8128B"/>
    <w:multiLevelType w:val="hybridMultilevel"/>
    <w:tmpl w:val="25FCBD2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4C4A668E"/>
    <w:multiLevelType w:val="hybridMultilevel"/>
    <w:tmpl w:val="641E43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11D06B3"/>
    <w:multiLevelType w:val="hybridMultilevel"/>
    <w:tmpl w:val="3FDA1CC8"/>
    <w:lvl w:ilvl="0" w:tplc="266AFC98">
      <w:start w:val="1"/>
      <w:numFmt w:val="decimal"/>
      <w:lvlText w:val="%1."/>
      <w:lvlJc w:val="left"/>
      <w:pPr>
        <w:ind w:left="851" w:hanging="491"/>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6705FCE"/>
    <w:multiLevelType w:val="hybridMultilevel"/>
    <w:tmpl w:val="3BE072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95F4782"/>
    <w:multiLevelType w:val="hybridMultilevel"/>
    <w:tmpl w:val="1AF8FC10"/>
    <w:lvl w:ilvl="0" w:tplc="1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360" w:hanging="360"/>
      </w:pPr>
      <w:rPr>
        <w:rFonts w:ascii="Wingdings" w:hAnsi="Wingdings" w:hint="default"/>
      </w:rPr>
    </w:lvl>
    <w:lvl w:ilvl="3" w:tplc="FFFFFFFF" w:tentative="1">
      <w:start w:val="1"/>
      <w:numFmt w:val="bullet"/>
      <w:lvlText w:val=""/>
      <w:lvlJc w:val="left"/>
      <w:pPr>
        <w:ind w:left="1080" w:hanging="360"/>
      </w:pPr>
      <w:rPr>
        <w:rFonts w:ascii="Symbol" w:hAnsi="Symbol" w:hint="default"/>
      </w:rPr>
    </w:lvl>
    <w:lvl w:ilvl="4" w:tplc="FFFFFFFF" w:tentative="1">
      <w:start w:val="1"/>
      <w:numFmt w:val="bullet"/>
      <w:lvlText w:val="o"/>
      <w:lvlJc w:val="left"/>
      <w:pPr>
        <w:ind w:left="1800" w:hanging="360"/>
      </w:pPr>
      <w:rPr>
        <w:rFonts w:ascii="Courier New" w:hAnsi="Courier New" w:cs="Courier New" w:hint="default"/>
      </w:rPr>
    </w:lvl>
    <w:lvl w:ilvl="5" w:tplc="FFFFFFFF" w:tentative="1">
      <w:start w:val="1"/>
      <w:numFmt w:val="bullet"/>
      <w:lvlText w:val=""/>
      <w:lvlJc w:val="left"/>
      <w:pPr>
        <w:ind w:left="2520" w:hanging="360"/>
      </w:pPr>
      <w:rPr>
        <w:rFonts w:ascii="Wingdings" w:hAnsi="Wingdings" w:hint="default"/>
      </w:rPr>
    </w:lvl>
    <w:lvl w:ilvl="6" w:tplc="FFFFFFFF" w:tentative="1">
      <w:start w:val="1"/>
      <w:numFmt w:val="bullet"/>
      <w:lvlText w:val=""/>
      <w:lvlJc w:val="left"/>
      <w:pPr>
        <w:ind w:left="3240" w:hanging="360"/>
      </w:pPr>
      <w:rPr>
        <w:rFonts w:ascii="Symbol" w:hAnsi="Symbol" w:hint="default"/>
      </w:rPr>
    </w:lvl>
    <w:lvl w:ilvl="7" w:tplc="FFFFFFFF" w:tentative="1">
      <w:start w:val="1"/>
      <w:numFmt w:val="bullet"/>
      <w:lvlText w:val="o"/>
      <w:lvlJc w:val="left"/>
      <w:pPr>
        <w:ind w:left="3960" w:hanging="360"/>
      </w:pPr>
      <w:rPr>
        <w:rFonts w:ascii="Courier New" w:hAnsi="Courier New" w:cs="Courier New" w:hint="default"/>
      </w:rPr>
    </w:lvl>
    <w:lvl w:ilvl="8" w:tplc="FFFFFFFF" w:tentative="1">
      <w:start w:val="1"/>
      <w:numFmt w:val="bullet"/>
      <w:lvlText w:val=""/>
      <w:lvlJc w:val="left"/>
      <w:pPr>
        <w:ind w:left="4680" w:hanging="360"/>
      </w:pPr>
      <w:rPr>
        <w:rFonts w:ascii="Wingdings" w:hAnsi="Wingdings" w:hint="default"/>
      </w:rPr>
    </w:lvl>
  </w:abstractNum>
  <w:abstractNum w:abstractNumId="18" w15:restartNumberingAfterBreak="0">
    <w:nsid w:val="597064AF"/>
    <w:multiLevelType w:val="multilevel"/>
    <w:tmpl w:val="A664E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927233"/>
    <w:multiLevelType w:val="hybridMultilevel"/>
    <w:tmpl w:val="D6ECA6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28D08FC"/>
    <w:multiLevelType w:val="hybridMultilevel"/>
    <w:tmpl w:val="A6B87080"/>
    <w:lvl w:ilvl="0" w:tplc="E648D9D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7A5607A"/>
    <w:multiLevelType w:val="hybridMultilevel"/>
    <w:tmpl w:val="EB3AD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A8C4F5B"/>
    <w:multiLevelType w:val="hybridMultilevel"/>
    <w:tmpl w:val="1C00B1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C9A1F5F"/>
    <w:multiLevelType w:val="hybridMultilevel"/>
    <w:tmpl w:val="91EA41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E823DDA"/>
    <w:multiLevelType w:val="hybridMultilevel"/>
    <w:tmpl w:val="12DE56AA"/>
    <w:lvl w:ilvl="0" w:tplc="266AFC98">
      <w:start w:val="1"/>
      <w:numFmt w:val="decimal"/>
      <w:lvlText w:val="%1."/>
      <w:lvlJc w:val="left"/>
      <w:pPr>
        <w:ind w:left="851" w:hanging="491"/>
      </w:pPr>
      <w:rPr>
        <w:rFonts w:hint="default"/>
      </w:rPr>
    </w:lvl>
    <w:lvl w:ilvl="1" w:tplc="10090019" w:tentative="1">
      <w:start w:val="1"/>
      <w:numFmt w:val="lowerLetter"/>
      <w:lvlText w:val="%2."/>
      <w:lvlJc w:val="left"/>
      <w:pPr>
        <w:ind w:left="1799" w:hanging="360"/>
      </w:pPr>
    </w:lvl>
    <w:lvl w:ilvl="2" w:tplc="1009001B" w:tentative="1">
      <w:start w:val="1"/>
      <w:numFmt w:val="lowerRoman"/>
      <w:lvlText w:val="%3."/>
      <w:lvlJc w:val="right"/>
      <w:pPr>
        <w:ind w:left="2519" w:hanging="180"/>
      </w:pPr>
    </w:lvl>
    <w:lvl w:ilvl="3" w:tplc="1009000F" w:tentative="1">
      <w:start w:val="1"/>
      <w:numFmt w:val="decimal"/>
      <w:lvlText w:val="%4."/>
      <w:lvlJc w:val="left"/>
      <w:pPr>
        <w:ind w:left="3239" w:hanging="360"/>
      </w:pPr>
    </w:lvl>
    <w:lvl w:ilvl="4" w:tplc="10090019" w:tentative="1">
      <w:start w:val="1"/>
      <w:numFmt w:val="lowerLetter"/>
      <w:lvlText w:val="%5."/>
      <w:lvlJc w:val="left"/>
      <w:pPr>
        <w:ind w:left="3959" w:hanging="360"/>
      </w:pPr>
    </w:lvl>
    <w:lvl w:ilvl="5" w:tplc="1009001B" w:tentative="1">
      <w:start w:val="1"/>
      <w:numFmt w:val="lowerRoman"/>
      <w:lvlText w:val="%6."/>
      <w:lvlJc w:val="right"/>
      <w:pPr>
        <w:ind w:left="4679" w:hanging="180"/>
      </w:pPr>
    </w:lvl>
    <w:lvl w:ilvl="6" w:tplc="1009000F" w:tentative="1">
      <w:start w:val="1"/>
      <w:numFmt w:val="decimal"/>
      <w:lvlText w:val="%7."/>
      <w:lvlJc w:val="left"/>
      <w:pPr>
        <w:ind w:left="5399" w:hanging="360"/>
      </w:pPr>
    </w:lvl>
    <w:lvl w:ilvl="7" w:tplc="10090019" w:tentative="1">
      <w:start w:val="1"/>
      <w:numFmt w:val="lowerLetter"/>
      <w:lvlText w:val="%8."/>
      <w:lvlJc w:val="left"/>
      <w:pPr>
        <w:ind w:left="6119" w:hanging="360"/>
      </w:pPr>
    </w:lvl>
    <w:lvl w:ilvl="8" w:tplc="1009001B" w:tentative="1">
      <w:start w:val="1"/>
      <w:numFmt w:val="lowerRoman"/>
      <w:lvlText w:val="%9."/>
      <w:lvlJc w:val="right"/>
      <w:pPr>
        <w:ind w:left="6839" w:hanging="180"/>
      </w:pPr>
    </w:lvl>
  </w:abstractNum>
  <w:abstractNum w:abstractNumId="25" w15:restartNumberingAfterBreak="0">
    <w:nsid w:val="7A2E179A"/>
    <w:multiLevelType w:val="hybridMultilevel"/>
    <w:tmpl w:val="ED50BCEE"/>
    <w:lvl w:ilvl="0" w:tplc="7DFA758C">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EB400AC"/>
    <w:multiLevelType w:val="hybridMultilevel"/>
    <w:tmpl w:val="C41E4A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EEC77FD"/>
    <w:multiLevelType w:val="hybridMultilevel"/>
    <w:tmpl w:val="5136DBD8"/>
    <w:lvl w:ilvl="0" w:tplc="69FC6DBC">
      <w:start w:val="416"/>
      <w:numFmt w:val="bullet"/>
      <w:lvlText w:val="-"/>
      <w:lvlJc w:val="left"/>
      <w:pPr>
        <w:ind w:left="720" w:hanging="360"/>
      </w:pPr>
      <w:rPr>
        <w:rFonts w:ascii="Assistant" w:eastAsiaTheme="minorHAnsi" w:hAnsi="Assistant" w:cs="Assistan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5"/>
  </w:num>
  <w:num w:numId="4">
    <w:abstractNumId w:val="13"/>
  </w:num>
  <w:num w:numId="5">
    <w:abstractNumId w:val="27"/>
  </w:num>
  <w:num w:numId="6">
    <w:abstractNumId w:val="7"/>
  </w:num>
  <w:num w:numId="7">
    <w:abstractNumId w:val="17"/>
  </w:num>
  <w:num w:numId="8">
    <w:abstractNumId w:val="12"/>
  </w:num>
  <w:num w:numId="9">
    <w:abstractNumId w:val="11"/>
  </w:num>
  <w:num w:numId="10">
    <w:abstractNumId w:val="8"/>
  </w:num>
  <w:num w:numId="11">
    <w:abstractNumId w:val="9"/>
  </w:num>
  <w:num w:numId="12">
    <w:abstractNumId w:val="21"/>
  </w:num>
  <w:num w:numId="13">
    <w:abstractNumId w:val="10"/>
  </w:num>
  <w:num w:numId="14">
    <w:abstractNumId w:val="26"/>
  </w:num>
  <w:num w:numId="15">
    <w:abstractNumId w:val="4"/>
  </w:num>
  <w:num w:numId="16">
    <w:abstractNumId w:val="18"/>
  </w:num>
  <w:num w:numId="17">
    <w:abstractNumId w:val="24"/>
  </w:num>
  <w:num w:numId="18">
    <w:abstractNumId w:val="19"/>
  </w:num>
  <w:num w:numId="19">
    <w:abstractNumId w:val="15"/>
  </w:num>
  <w:num w:numId="20">
    <w:abstractNumId w:val="16"/>
  </w:num>
  <w:num w:numId="21">
    <w:abstractNumId w:val="14"/>
  </w:num>
  <w:num w:numId="22">
    <w:abstractNumId w:val="0"/>
  </w:num>
  <w:num w:numId="23">
    <w:abstractNumId w:val="25"/>
  </w:num>
  <w:num w:numId="24">
    <w:abstractNumId w:val="1"/>
  </w:num>
  <w:num w:numId="25">
    <w:abstractNumId w:val="3"/>
  </w:num>
  <w:num w:numId="26">
    <w:abstractNumId w:val="22"/>
  </w:num>
  <w:num w:numId="27">
    <w:abstractNumId w:val="2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C3"/>
    <w:rsid w:val="000073D3"/>
    <w:rsid w:val="00007E37"/>
    <w:rsid w:val="0002053D"/>
    <w:rsid w:val="00035A1E"/>
    <w:rsid w:val="0004447E"/>
    <w:rsid w:val="0005657C"/>
    <w:rsid w:val="000633DE"/>
    <w:rsid w:val="00065642"/>
    <w:rsid w:val="000934CF"/>
    <w:rsid w:val="00097E0E"/>
    <w:rsid w:val="000C468F"/>
    <w:rsid w:val="000D20CB"/>
    <w:rsid w:val="000F0384"/>
    <w:rsid w:val="000F044E"/>
    <w:rsid w:val="000F1DA7"/>
    <w:rsid w:val="000F3FD3"/>
    <w:rsid w:val="000F5B4C"/>
    <w:rsid w:val="00103DAA"/>
    <w:rsid w:val="00135014"/>
    <w:rsid w:val="00144904"/>
    <w:rsid w:val="00176A85"/>
    <w:rsid w:val="00183B79"/>
    <w:rsid w:val="00183F32"/>
    <w:rsid w:val="0019627A"/>
    <w:rsid w:val="00197B89"/>
    <w:rsid w:val="001C25B3"/>
    <w:rsid w:val="001D77AA"/>
    <w:rsid w:val="001F4EF8"/>
    <w:rsid w:val="002075F5"/>
    <w:rsid w:val="002100FE"/>
    <w:rsid w:val="0023598A"/>
    <w:rsid w:val="00250967"/>
    <w:rsid w:val="002526D8"/>
    <w:rsid w:val="002533F4"/>
    <w:rsid w:val="00266944"/>
    <w:rsid w:val="00271AA7"/>
    <w:rsid w:val="002A16F9"/>
    <w:rsid w:val="002C72B2"/>
    <w:rsid w:val="002D1E72"/>
    <w:rsid w:val="002E25F7"/>
    <w:rsid w:val="002E2C22"/>
    <w:rsid w:val="003025B1"/>
    <w:rsid w:val="00323A61"/>
    <w:rsid w:val="003269F4"/>
    <w:rsid w:val="00333AB5"/>
    <w:rsid w:val="0033767B"/>
    <w:rsid w:val="0036363A"/>
    <w:rsid w:val="00384BE5"/>
    <w:rsid w:val="003853CD"/>
    <w:rsid w:val="00392F7D"/>
    <w:rsid w:val="003E2365"/>
    <w:rsid w:val="004341B9"/>
    <w:rsid w:val="00435422"/>
    <w:rsid w:val="00453BF6"/>
    <w:rsid w:val="00461507"/>
    <w:rsid w:val="00463E6B"/>
    <w:rsid w:val="00486EF6"/>
    <w:rsid w:val="004A391B"/>
    <w:rsid w:val="004D1BCC"/>
    <w:rsid w:val="004E0008"/>
    <w:rsid w:val="004F005B"/>
    <w:rsid w:val="004F6134"/>
    <w:rsid w:val="005234F3"/>
    <w:rsid w:val="0055278B"/>
    <w:rsid w:val="005529D0"/>
    <w:rsid w:val="00557EAB"/>
    <w:rsid w:val="005635BD"/>
    <w:rsid w:val="00594EF5"/>
    <w:rsid w:val="005C5E0D"/>
    <w:rsid w:val="005D6F8B"/>
    <w:rsid w:val="005E6FF9"/>
    <w:rsid w:val="00616062"/>
    <w:rsid w:val="00636C13"/>
    <w:rsid w:val="006418F3"/>
    <w:rsid w:val="00690AF8"/>
    <w:rsid w:val="00693738"/>
    <w:rsid w:val="00697653"/>
    <w:rsid w:val="006C1F02"/>
    <w:rsid w:val="006E75C8"/>
    <w:rsid w:val="006F0110"/>
    <w:rsid w:val="00713FC3"/>
    <w:rsid w:val="00735947"/>
    <w:rsid w:val="00750447"/>
    <w:rsid w:val="00763E01"/>
    <w:rsid w:val="00764A30"/>
    <w:rsid w:val="0076588C"/>
    <w:rsid w:val="007A28CA"/>
    <w:rsid w:val="007A63D6"/>
    <w:rsid w:val="007E4B84"/>
    <w:rsid w:val="0081424D"/>
    <w:rsid w:val="0081562B"/>
    <w:rsid w:val="008169D8"/>
    <w:rsid w:val="0082269C"/>
    <w:rsid w:val="00824AE2"/>
    <w:rsid w:val="00840153"/>
    <w:rsid w:val="00842E2B"/>
    <w:rsid w:val="00843CD6"/>
    <w:rsid w:val="00846F11"/>
    <w:rsid w:val="00853401"/>
    <w:rsid w:val="008B5042"/>
    <w:rsid w:val="008B7D3E"/>
    <w:rsid w:val="008C1824"/>
    <w:rsid w:val="008E2057"/>
    <w:rsid w:val="008E7B0E"/>
    <w:rsid w:val="009518B4"/>
    <w:rsid w:val="00967B6F"/>
    <w:rsid w:val="00973672"/>
    <w:rsid w:val="009A2BA9"/>
    <w:rsid w:val="009C0378"/>
    <w:rsid w:val="009C7543"/>
    <w:rsid w:val="009F3991"/>
    <w:rsid w:val="00A04925"/>
    <w:rsid w:val="00A677A5"/>
    <w:rsid w:val="00A71752"/>
    <w:rsid w:val="00A7799D"/>
    <w:rsid w:val="00A803EC"/>
    <w:rsid w:val="00A81E40"/>
    <w:rsid w:val="00A92C1F"/>
    <w:rsid w:val="00AB07A9"/>
    <w:rsid w:val="00AD2BD8"/>
    <w:rsid w:val="00AE52A4"/>
    <w:rsid w:val="00AE6439"/>
    <w:rsid w:val="00B053D5"/>
    <w:rsid w:val="00B067BB"/>
    <w:rsid w:val="00B11B8D"/>
    <w:rsid w:val="00B35B7A"/>
    <w:rsid w:val="00B37437"/>
    <w:rsid w:val="00B52BFA"/>
    <w:rsid w:val="00B56DC8"/>
    <w:rsid w:val="00B63A59"/>
    <w:rsid w:val="00B64013"/>
    <w:rsid w:val="00B8263A"/>
    <w:rsid w:val="00B911E0"/>
    <w:rsid w:val="00BA26E2"/>
    <w:rsid w:val="00BB34AF"/>
    <w:rsid w:val="00BB55A2"/>
    <w:rsid w:val="00BC0341"/>
    <w:rsid w:val="00C343D4"/>
    <w:rsid w:val="00C37649"/>
    <w:rsid w:val="00C674F3"/>
    <w:rsid w:val="00C73521"/>
    <w:rsid w:val="00C86473"/>
    <w:rsid w:val="00C92707"/>
    <w:rsid w:val="00C92711"/>
    <w:rsid w:val="00CA02FD"/>
    <w:rsid w:val="00CB481D"/>
    <w:rsid w:val="00CB4E46"/>
    <w:rsid w:val="00CC03DC"/>
    <w:rsid w:val="00CE5D8B"/>
    <w:rsid w:val="00CF26B7"/>
    <w:rsid w:val="00D05774"/>
    <w:rsid w:val="00D154B8"/>
    <w:rsid w:val="00D57B16"/>
    <w:rsid w:val="00D95BE4"/>
    <w:rsid w:val="00DB031B"/>
    <w:rsid w:val="00DC2382"/>
    <w:rsid w:val="00DD05E2"/>
    <w:rsid w:val="00DF0A47"/>
    <w:rsid w:val="00DF30CC"/>
    <w:rsid w:val="00E047ED"/>
    <w:rsid w:val="00E06776"/>
    <w:rsid w:val="00E078AD"/>
    <w:rsid w:val="00E10AF4"/>
    <w:rsid w:val="00E15B9C"/>
    <w:rsid w:val="00E24A02"/>
    <w:rsid w:val="00E34BC0"/>
    <w:rsid w:val="00E4716C"/>
    <w:rsid w:val="00E523FB"/>
    <w:rsid w:val="00E62C24"/>
    <w:rsid w:val="00E64169"/>
    <w:rsid w:val="00E71673"/>
    <w:rsid w:val="00E967AF"/>
    <w:rsid w:val="00EA05B0"/>
    <w:rsid w:val="00F13CFC"/>
    <w:rsid w:val="00F22127"/>
    <w:rsid w:val="00F3246E"/>
    <w:rsid w:val="00F32C5F"/>
    <w:rsid w:val="00F37AF2"/>
    <w:rsid w:val="00F44589"/>
    <w:rsid w:val="00F46AE7"/>
    <w:rsid w:val="00FC3522"/>
    <w:rsid w:val="00FD4F20"/>
    <w:rsid w:val="00FE3275"/>
    <w:rsid w:val="00FE5D06"/>
    <w:rsid w:val="00FE62C3"/>
    <w:rsid w:val="00FF2E29"/>
    <w:rsid w:val="00FF4A78"/>
    <w:rsid w:val="6009ADE9"/>
    <w:rsid w:val="7B60E7A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80F7"/>
  <w15:chartTrackingRefBased/>
  <w15:docId w15:val="{A08E1EBE-F745-4418-9727-7B0D5287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47E"/>
  </w:style>
  <w:style w:type="paragraph" w:styleId="Heading1">
    <w:name w:val="heading 1"/>
    <w:basedOn w:val="Normal"/>
    <w:next w:val="Normal"/>
    <w:link w:val="Heading1Char"/>
    <w:uiPriority w:val="9"/>
    <w:qFormat/>
    <w:rsid w:val="00FE62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3B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2C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E62C3"/>
    <w:pPr>
      <w:ind w:left="720"/>
      <w:contextualSpacing/>
    </w:pPr>
  </w:style>
  <w:style w:type="paragraph" w:styleId="Header">
    <w:name w:val="header"/>
    <w:basedOn w:val="Normal"/>
    <w:link w:val="HeaderChar"/>
    <w:uiPriority w:val="99"/>
    <w:unhideWhenUsed/>
    <w:rsid w:val="00557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EAB"/>
  </w:style>
  <w:style w:type="paragraph" w:styleId="Footer">
    <w:name w:val="footer"/>
    <w:basedOn w:val="Normal"/>
    <w:link w:val="FooterChar"/>
    <w:uiPriority w:val="99"/>
    <w:unhideWhenUsed/>
    <w:rsid w:val="00557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EAB"/>
  </w:style>
  <w:style w:type="character" w:styleId="Hyperlink">
    <w:name w:val="Hyperlink"/>
    <w:basedOn w:val="DefaultParagraphFont"/>
    <w:uiPriority w:val="99"/>
    <w:unhideWhenUsed/>
    <w:rsid w:val="00557EAB"/>
    <w:rPr>
      <w:color w:val="0563C1" w:themeColor="hyperlink"/>
      <w:u w:val="single"/>
    </w:rPr>
  </w:style>
  <w:style w:type="character" w:styleId="UnresolvedMention">
    <w:name w:val="Unresolved Mention"/>
    <w:basedOn w:val="DefaultParagraphFont"/>
    <w:uiPriority w:val="99"/>
    <w:semiHidden/>
    <w:unhideWhenUsed/>
    <w:rsid w:val="00557EAB"/>
    <w:rPr>
      <w:color w:val="605E5C"/>
      <w:shd w:val="clear" w:color="auto" w:fill="E1DFDD"/>
    </w:rPr>
  </w:style>
  <w:style w:type="character" w:customStyle="1" w:styleId="Heading2Char">
    <w:name w:val="Heading 2 Char"/>
    <w:basedOn w:val="DefaultParagraphFont"/>
    <w:link w:val="Heading2"/>
    <w:uiPriority w:val="9"/>
    <w:rsid w:val="00183B79"/>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CRW Custom 1">
      <a:majorFont>
        <a:latin typeface="Assistant"/>
        <a:ea typeface=""/>
        <a:cs typeface=""/>
      </a:majorFont>
      <a:minorFont>
        <a:latin typeface="Assistan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4230C4E5AC64E8906031FA736EF15" ma:contentTypeVersion="11" ma:contentTypeDescription="Create a new document." ma:contentTypeScope="" ma:versionID="bbe4a352f56fffb28fa99c3c72527e2a">
  <xsd:schema xmlns:xsd="http://www.w3.org/2001/XMLSchema" xmlns:xs="http://www.w3.org/2001/XMLSchema" xmlns:p="http://schemas.microsoft.com/office/2006/metadata/properties" xmlns:ns2="fa06d313-7b6e-4366-b6bb-13637b1469cc" xmlns:ns3="f61fc526-369a-4173-9222-99ed8c3bd08c" targetNamespace="http://schemas.microsoft.com/office/2006/metadata/properties" ma:root="true" ma:fieldsID="d4ab62fccd59e1261d853e7541fcaae8" ns2:_="" ns3:_="">
    <xsd:import namespace="fa06d313-7b6e-4366-b6bb-13637b1469cc"/>
    <xsd:import namespace="f61fc526-369a-4173-9222-99ed8c3bd0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06d313-7b6e-4366-b6bb-13637b146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1fc526-369a-4173-9222-99ed8c3bd08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320499-97DC-45AE-B9AA-EE8A9CB9F8AB}"/>
</file>

<file path=customXml/itemProps2.xml><?xml version="1.0" encoding="utf-8"?>
<ds:datastoreItem xmlns:ds="http://schemas.openxmlformats.org/officeDocument/2006/customXml" ds:itemID="{A33430EA-541C-4BE3-8F08-3FBD80A92D46}"/>
</file>

<file path=customXml/itemProps3.xml><?xml version="1.0" encoding="utf-8"?>
<ds:datastoreItem xmlns:ds="http://schemas.openxmlformats.org/officeDocument/2006/customXml" ds:itemID="{D7977C88-BD01-46E1-8352-82805C7DE9C8}"/>
</file>

<file path=docProps/app.xml><?xml version="1.0" encoding="utf-8"?>
<Properties xmlns="http://schemas.openxmlformats.org/officeDocument/2006/extended-properties" xmlns:vt="http://schemas.openxmlformats.org/officeDocument/2006/docPropsVTypes">
  <Template>Normal.dotm</Template>
  <TotalTime>6</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Normore</dc:creator>
  <cp:keywords/>
  <dc:description/>
  <cp:lastModifiedBy>Olena Polissky</cp:lastModifiedBy>
  <cp:revision>172</cp:revision>
  <dcterms:created xsi:type="dcterms:W3CDTF">2022-01-14T12:39:00Z</dcterms:created>
  <dcterms:modified xsi:type="dcterms:W3CDTF">2022-01-27T19:35:00Z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0x010100F504230C4E5AC64E8906031FA736EF15</vt:lpwstr>
  </property>
</Properties>
</file>