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7F0B" w14:textId="25110498" w:rsidR="00186665" w:rsidRPr="00F07170" w:rsidRDefault="0044050B" w:rsidP="002527FC">
      <w:pPr>
        <w:pStyle w:val="Heading1"/>
        <w:rPr>
          <w:lang w:val="fr-CA"/>
        </w:rPr>
      </w:pPr>
      <w:bookmarkStart w:id="0" w:name="_Toc191281426"/>
      <w:r w:rsidRPr="00F07170">
        <w:rPr>
          <w:lang w:val="fr-CA"/>
        </w:rPr>
        <w:t xml:space="preserve">Des </w:t>
      </w:r>
      <w:r w:rsidR="001407B6" w:rsidRPr="00F07170">
        <w:rPr>
          <w:lang w:val="fr-CA"/>
        </w:rPr>
        <w:t xml:space="preserve">assises </w:t>
      </w:r>
      <w:r w:rsidRPr="00F07170">
        <w:rPr>
          <w:lang w:val="fr-CA"/>
        </w:rPr>
        <w:t xml:space="preserve">solides </w:t>
      </w:r>
      <w:r w:rsidR="002527FC" w:rsidRPr="00F07170">
        <w:rPr>
          <w:lang w:val="fr-CA"/>
        </w:rPr>
        <w:t xml:space="preserve">: </w:t>
      </w:r>
      <w:r w:rsidRPr="00F07170">
        <w:rPr>
          <w:lang w:val="fr-CA"/>
        </w:rPr>
        <w:t xml:space="preserve">soutenir le </w:t>
      </w:r>
      <w:r w:rsidR="005569E1" w:rsidRPr="00F07170">
        <w:rPr>
          <w:lang w:val="fr-CA"/>
        </w:rPr>
        <w:t>développe</w:t>
      </w:r>
      <w:r w:rsidRPr="00F07170">
        <w:rPr>
          <w:lang w:val="fr-CA"/>
        </w:rPr>
        <w:t>ment</w:t>
      </w:r>
      <w:r w:rsidR="005569E1" w:rsidRPr="00F07170">
        <w:rPr>
          <w:lang w:val="fr-CA"/>
        </w:rPr>
        <w:t xml:space="preserve"> de compétences transférables pour les </w:t>
      </w:r>
      <w:r w:rsidR="0059530D" w:rsidRPr="00F07170">
        <w:rPr>
          <w:lang w:val="fr-CA"/>
        </w:rPr>
        <w:t xml:space="preserve">demandeurs d’emploi </w:t>
      </w:r>
      <w:r w:rsidR="001407B6" w:rsidRPr="00F07170">
        <w:rPr>
          <w:lang w:val="fr-CA"/>
        </w:rPr>
        <w:t xml:space="preserve">en situation de </w:t>
      </w:r>
      <w:r w:rsidR="005569E1" w:rsidRPr="00F07170">
        <w:rPr>
          <w:lang w:val="fr-CA"/>
        </w:rPr>
        <w:t>handicap</w:t>
      </w:r>
      <w:bookmarkEnd w:id="0"/>
      <w:r w:rsidR="001407B6" w:rsidRPr="00F07170">
        <w:rPr>
          <w:lang w:val="fr-CA"/>
        </w:rPr>
        <w:t xml:space="preserve"> </w:t>
      </w:r>
    </w:p>
    <w:p w14:paraId="16C9E8C1" w14:textId="77777777" w:rsidR="00423552" w:rsidRPr="00F07170" w:rsidRDefault="00423552" w:rsidP="00423552">
      <w:pPr>
        <w:rPr>
          <w:lang w:val="fr-CA"/>
        </w:rPr>
      </w:pPr>
      <w:r w:rsidRPr="00F07170">
        <w:rPr>
          <w:lang w:val="fr-CA"/>
        </w:rPr>
        <w:t>Février 2025</w:t>
      </w:r>
    </w:p>
    <w:p w14:paraId="442B47E4" w14:textId="0B5C1A15" w:rsidR="00423552" w:rsidRPr="00F07170" w:rsidRDefault="00423552" w:rsidP="00423552">
      <w:pPr>
        <w:rPr>
          <w:lang w:val="fr-CA"/>
        </w:rPr>
      </w:pPr>
      <w:r w:rsidRPr="00F07170">
        <w:rPr>
          <w:lang w:val="fr-CA"/>
        </w:rPr>
        <w:t>Conseil canadien de la réadaptation et du travail</w:t>
      </w:r>
    </w:p>
    <w:p w14:paraId="52142A4D" w14:textId="77777777" w:rsidR="008E1DA8" w:rsidRPr="00F07170" w:rsidRDefault="008E1DA8">
      <w:pPr>
        <w:rPr>
          <w:lang w:val="fr-CA"/>
        </w:rPr>
      </w:pPr>
    </w:p>
    <w:p w14:paraId="79DF6417" w14:textId="2D6335D0" w:rsidR="008E1DA8" w:rsidRPr="00F07170" w:rsidRDefault="008E1DA8">
      <w:pPr>
        <w:rPr>
          <w:lang w:val="fr-CA"/>
        </w:rPr>
      </w:pPr>
      <w:r w:rsidRPr="00F07170">
        <w:rPr>
          <w:lang w:val="fr-CA"/>
        </w:rPr>
        <w:t>Les opinions et les interprétations figurant dans la présente publication sont celles de l’auteur et ne représentent pas nécessairement celles du gouvernement du Canada.</w:t>
      </w:r>
    </w:p>
    <w:p w14:paraId="5A6EDA77" w14:textId="02277129" w:rsidR="00423552" w:rsidRPr="00F07170" w:rsidRDefault="008501D5">
      <w:pPr>
        <w:rPr>
          <w:lang w:val="fr-CA"/>
        </w:rPr>
      </w:pPr>
      <w:r w:rsidRPr="00F07170">
        <w:rPr>
          <w:lang w:val="fr-CA"/>
        </w:rPr>
        <w:br w:type="page"/>
      </w:r>
    </w:p>
    <w:p w14:paraId="3F2C38D4" w14:textId="35A7204D" w:rsidR="00613BAD" w:rsidRPr="00F07170" w:rsidRDefault="00613BAD" w:rsidP="002527FC">
      <w:pPr>
        <w:pStyle w:val="Heading2"/>
        <w:rPr>
          <w:lang w:val="fr-CA"/>
        </w:rPr>
      </w:pPr>
      <w:bookmarkStart w:id="1" w:name="_Toc191281427"/>
      <w:r w:rsidRPr="00F07170">
        <w:rPr>
          <w:lang w:val="fr-CA"/>
        </w:rPr>
        <w:lastRenderedPageBreak/>
        <w:t>Introduction</w:t>
      </w:r>
      <w:bookmarkEnd w:id="1"/>
    </w:p>
    <w:p w14:paraId="3CF976EC" w14:textId="4EA7E6AA" w:rsidR="00330F23" w:rsidRPr="00F07170" w:rsidRDefault="0059530D" w:rsidP="00907BFE">
      <w:pPr>
        <w:rPr>
          <w:lang w:val="fr-CA"/>
        </w:rPr>
      </w:pPr>
      <w:r w:rsidRPr="00F07170">
        <w:rPr>
          <w:lang w:val="fr-CA"/>
        </w:rPr>
        <w:t xml:space="preserve">Des </w:t>
      </w:r>
      <w:r w:rsidR="001407B6" w:rsidRPr="00F07170">
        <w:rPr>
          <w:lang w:val="fr-CA"/>
        </w:rPr>
        <w:t>assises</w:t>
      </w:r>
      <w:r w:rsidR="00330F23" w:rsidRPr="00F07170">
        <w:rPr>
          <w:lang w:val="fr-CA"/>
        </w:rPr>
        <w:t xml:space="preserve"> </w:t>
      </w:r>
      <w:r w:rsidRPr="00F07170">
        <w:rPr>
          <w:lang w:val="fr-CA"/>
        </w:rPr>
        <w:t xml:space="preserve">solides </w:t>
      </w:r>
      <w:r w:rsidR="00330F23" w:rsidRPr="00F07170">
        <w:rPr>
          <w:lang w:val="fr-CA"/>
        </w:rPr>
        <w:t>est un guide destiné aux p</w:t>
      </w:r>
      <w:r w:rsidR="001407B6" w:rsidRPr="00F07170">
        <w:rPr>
          <w:lang w:val="fr-CA"/>
        </w:rPr>
        <w:t xml:space="preserve">ersonnes qui fournissent des </w:t>
      </w:r>
      <w:r w:rsidR="00330F23" w:rsidRPr="00F07170">
        <w:rPr>
          <w:lang w:val="fr-CA"/>
        </w:rPr>
        <w:t>services d</w:t>
      </w:r>
      <w:r w:rsidR="00B108A1" w:rsidRPr="00F07170">
        <w:rPr>
          <w:lang w:val="fr-CA"/>
        </w:rPr>
        <w:t>e soutien à l</w:t>
      </w:r>
      <w:r w:rsidR="001407B6" w:rsidRPr="00F07170">
        <w:rPr>
          <w:lang w:val="fr-CA"/>
        </w:rPr>
        <w:t>’</w:t>
      </w:r>
      <w:r w:rsidR="00330F23" w:rsidRPr="00F07170">
        <w:rPr>
          <w:lang w:val="fr-CA"/>
        </w:rPr>
        <w:t xml:space="preserve">emploi et aux accompagnateurs </w:t>
      </w:r>
      <w:r w:rsidR="00150926" w:rsidRPr="00F07170">
        <w:rPr>
          <w:lang w:val="fr-CA"/>
        </w:rPr>
        <w:t xml:space="preserve">en gestion et transition </w:t>
      </w:r>
      <w:r w:rsidR="00330F23" w:rsidRPr="00F07170">
        <w:rPr>
          <w:lang w:val="fr-CA"/>
        </w:rPr>
        <w:t>de carrière</w:t>
      </w:r>
      <w:r w:rsidR="00150926" w:rsidRPr="00F07170">
        <w:rPr>
          <w:lang w:val="fr-CA"/>
        </w:rPr>
        <w:t>. Il leur propose des outils afin d’</w:t>
      </w:r>
      <w:r w:rsidR="00330F23" w:rsidRPr="00F07170">
        <w:rPr>
          <w:lang w:val="fr-CA"/>
        </w:rPr>
        <w:t>aide</w:t>
      </w:r>
      <w:r w:rsidR="00150926" w:rsidRPr="00F07170">
        <w:rPr>
          <w:lang w:val="fr-CA"/>
        </w:rPr>
        <w:t>r</w:t>
      </w:r>
      <w:r w:rsidR="00330F23" w:rsidRPr="00F07170">
        <w:rPr>
          <w:lang w:val="fr-CA"/>
        </w:rPr>
        <w:t xml:space="preserve"> les </w:t>
      </w:r>
      <w:r w:rsidRPr="00F07170">
        <w:rPr>
          <w:lang w:val="fr-CA"/>
        </w:rPr>
        <w:t xml:space="preserve">demandeurs d’emploi </w:t>
      </w:r>
      <w:r w:rsidR="001407B6" w:rsidRPr="00F07170">
        <w:rPr>
          <w:lang w:val="fr-CA"/>
        </w:rPr>
        <w:t>en situation de</w:t>
      </w:r>
      <w:r w:rsidR="00330F23" w:rsidRPr="00F07170">
        <w:rPr>
          <w:lang w:val="fr-CA"/>
        </w:rPr>
        <w:t xml:space="preserve"> handicap</w:t>
      </w:r>
      <w:r w:rsidR="001407B6" w:rsidRPr="00F07170">
        <w:rPr>
          <w:lang w:val="fr-CA"/>
        </w:rPr>
        <w:t xml:space="preserve"> </w:t>
      </w:r>
      <w:r w:rsidR="00330F23" w:rsidRPr="00F07170">
        <w:rPr>
          <w:lang w:val="fr-CA"/>
        </w:rPr>
        <w:t xml:space="preserve">à développer les compétences </w:t>
      </w:r>
      <w:r w:rsidRPr="00F07170">
        <w:rPr>
          <w:lang w:val="fr-CA"/>
        </w:rPr>
        <w:t xml:space="preserve">d’emploi </w:t>
      </w:r>
      <w:r w:rsidR="001407B6" w:rsidRPr="00F07170">
        <w:rPr>
          <w:lang w:val="fr-CA"/>
        </w:rPr>
        <w:t>essentielles</w:t>
      </w:r>
      <w:r w:rsidR="00330F23" w:rsidRPr="00F07170">
        <w:rPr>
          <w:lang w:val="fr-CA"/>
        </w:rPr>
        <w:t>.</w:t>
      </w:r>
    </w:p>
    <w:p w14:paraId="4A2D6384" w14:textId="46261E5C" w:rsidR="00330F23" w:rsidRPr="00F07170" w:rsidRDefault="00330F23" w:rsidP="00330F23">
      <w:pPr>
        <w:rPr>
          <w:lang w:val="fr-CA"/>
        </w:rPr>
      </w:pPr>
      <w:r w:rsidRPr="00F07170">
        <w:rPr>
          <w:lang w:val="fr-CA"/>
        </w:rPr>
        <w:t xml:space="preserve">En 2022, le CCRT a commencé à </w:t>
      </w:r>
      <w:r w:rsidR="0059530D" w:rsidRPr="00F07170">
        <w:rPr>
          <w:lang w:val="fr-CA"/>
        </w:rPr>
        <w:t>élaborer</w:t>
      </w:r>
      <w:r w:rsidRPr="00F07170">
        <w:rPr>
          <w:lang w:val="fr-CA"/>
        </w:rPr>
        <w:t xml:space="preserve"> une formation ciblée sur les compétences pour les demandeurs d</w:t>
      </w:r>
      <w:r w:rsidR="001407B6" w:rsidRPr="00F07170">
        <w:rPr>
          <w:lang w:val="fr-CA"/>
        </w:rPr>
        <w:t>’</w:t>
      </w:r>
      <w:r w:rsidRPr="00F07170">
        <w:rPr>
          <w:lang w:val="fr-CA"/>
        </w:rPr>
        <w:t>emploi et les travailleurs</w:t>
      </w:r>
      <w:r w:rsidR="001407B6" w:rsidRPr="00F07170">
        <w:rPr>
          <w:lang w:val="fr-CA"/>
        </w:rPr>
        <w:t xml:space="preserve"> en situation de</w:t>
      </w:r>
      <w:r w:rsidRPr="00F07170">
        <w:rPr>
          <w:lang w:val="fr-CA"/>
        </w:rPr>
        <w:t xml:space="preserve"> handicap. </w:t>
      </w:r>
      <w:r w:rsidR="00B45494" w:rsidRPr="00F07170">
        <w:rPr>
          <w:lang w:val="fr-CA"/>
        </w:rPr>
        <w:t xml:space="preserve">Grâce au financement du gouvernement du Canada par le biais du programme Compétences pour réussir, le CCRT </w:t>
      </w:r>
      <w:r w:rsidRPr="00F07170">
        <w:rPr>
          <w:lang w:val="fr-CA"/>
        </w:rPr>
        <w:t>a créé une plateforme d</w:t>
      </w:r>
      <w:r w:rsidR="001407B6" w:rsidRPr="00F07170">
        <w:rPr>
          <w:lang w:val="fr-CA"/>
        </w:rPr>
        <w:t>’</w:t>
      </w:r>
      <w:r w:rsidRPr="00F07170">
        <w:rPr>
          <w:lang w:val="fr-CA"/>
        </w:rPr>
        <w:t xml:space="preserve">apprentissage en ligne </w:t>
      </w:r>
      <w:r w:rsidR="0059530D" w:rsidRPr="00F07170">
        <w:rPr>
          <w:lang w:val="fr-CA"/>
        </w:rPr>
        <w:t>qui offre</w:t>
      </w:r>
      <w:r w:rsidRPr="00F07170">
        <w:rPr>
          <w:lang w:val="fr-CA"/>
        </w:rPr>
        <w:t xml:space="preserve"> plus de 70 formations, dont plus de 30 </w:t>
      </w:r>
      <w:r w:rsidR="0059530D" w:rsidRPr="00F07170">
        <w:rPr>
          <w:lang w:val="fr-CA"/>
        </w:rPr>
        <w:t xml:space="preserve">formations </w:t>
      </w:r>
      <w:r w:rsidRPr="00F07170">
        <w:rPr>
          <w:lang w:val="fr-CA"/>
        </w:rPr>
        <w:t xml:space="preserve">axées sur cinq </w:t>
      </w:r>
      <w:r w:rsidR="0059530D" w:rsidRPr="00F07170">
        <w:rPr>
          <w:lang w:val="fr-CA"/>
        </w:rPr>
        <w:t xml:space="preserve">des </w:t>
      </w:r>
      <w:r w:rsidRPr="00F07170">
        <w:rPr>
          <w:lang w:val="fr-CA"/>
        </w:rPr>
        <w:t xml:space="preserve">compétences transférables : </w:t>
      </w:r>
      <w:r w:rsidR="0059530D" w:rsidRPr="00F07170">
        <w:rPr>
          <w:lang w:val="fr-CA"/>
        </w:rPr>
        <w:t>l’</w:t>
      </w:r>
      <w:r w:rsidRPr="00F07170">
        <w:rPr>
          <w:lang w:val="fr-CA"/>
        </w:rPr>
        <w:t xml:space="preserve">adaptabilité, </w:t>
      </w:r>
      <w:r w:rsidR="0059530D" w:rsidRPr="00F07170">
        <w:rPr>
          <w:lang w:val="fr-CA"/>
        </w:rPr>
        <w:t xml:space="preserve">la </w:t>
      </w:r>
      <w:r w:rsidRPr="00F07170">
        <w:rPr>
          <w:lang w:val="fr-CA"/>
        </w:rPr>
        <w:t xml:space="preserve">collaboration, </w:t>
      </w:r>
      <w:r w:rsidR="0059530D" w:rsidRPr="00F07170">
        <w:rPr>
          <w:lang w:val="fr-CA"/>
        </w:rPr>
        <w:t xml:space="preserve">la </w:t>
      </w:r>
      <w:r w:rsidRPr="00F07170">
        <w:rPr>
          <w:lang w:val="fr-CA"/>
        </w:rPr>
        <w:t xml:space="preserve">communication, </w:t>
      </w:r>
      <w:r w:rsidR="0059530D" w:rsidRPr="00F07170">
        <w:rPr>
          <w:lang w:val="fr-CA"/>
        </w:rPr>
        <w:t xml:space="preserve">la </w:t>
      </w:r>
      <w:r w:rsidRPr="00F07170">
        <w:rPr>
          <w:lang w:val="fr-CA"/>
        </w:rPr>
        <w:t xml:space="preserve">créativité et </w:t>
      </w:r>
      <w:r w:rsidR="0059530D" w:rsidRPr="00F07170">
        <w:rPr>
          <w:lang w:val="fr-CA"/>
        </w:rPr>
        <w:t>l’</w:t>
      </w:r>
      <w:r w:rsidRPr="00F07170">
        <w:rPr>
          <w:lang w:val="fr-CA"/>
        </w:rPr>
        <w:t xml:space="preserve">innovation, et </w:t>
      </w:r>
      <w:r w:rsidR="0059530D" w:rsidRPr="00F07170">
        <w:rPr>
          <w:lang w:val="fr-CA"/>
        </w:rPr>
        <w:t xml:space="preserve">la </w:t>
      </w:r>
      <w:r w:rsidRPr="00F07170">
        <w:rPr>
          <w:lang w:val="fr-CA"/>
        </w:rPr>
        <w:t>résolution de problèmes.</w:t>
      </w:r>
    </w:p>
    <w:p w14:paraId="69D96A10" w14:textId="347A4B41" w:rsidR="00330F23" w:rsidRPr="00F07170" w:rsidRDefault="00330F23" w:rsidP="00330F23">
      <w:pPr>
        <w:rPr>
          <w:lang w:val="fr-CA"/>
        </w:rPr>
      </w:pPr>
      <w:r w:rsidRPr="00F07170">
        <w:rPr>
          <w:lang w:val="fr-CA"/>
        </w:rPr>
        <w:t>Jusqu</w:t>
      </w:r>
      <w:r w:rsidR="001407B6" w:rsidRPr="00F07170">
        <w:rPr>
          <w:lang w:val="fr-CA"/>
        </w:rPr>
        <w:t>’</w:t>
      </w:r>
      <w:r w:rsidRPr="00F07170">
        <w:rPr>
          <w:lang w:val="fr-CA"/>
        </w:rPr>
        <w:t xml:space="preserve">en 2024, le projet </w:t>
      </w:r>
      <w:r w:rsidR="00FC757A" w:rsidRPr="00F07170">
        <w:rPr>
          <w:lang w:val="fr-CA"/>
        </w:rPr>
        <w:t>de recherche STEAM (</w:t>
      </w:r>
      <w:proofErr w:type="spellStart"/>
      <w:r w:rsidRPr="00F07170">
        <w:rPr>
          <w:lang w:val="fr-CA"/>
        </w:rPr>
        <w:t>Skilled</w:t>
      </w:r>
      <w:proofErr w:type="spellEnd"/>
      <w:r w:rsidRPr="00F07170">
        <w:rPr>
          <w:lang w:val="fr-CA"/>
        </w:rPr>
        <w:t xml:space="preserve"> Talent Employment </w:t>
      </w:r>
      <w:proofErr w:type="spellStart"/>
      <w:r w:rsidRPr="00F07170">
        <w:rPr>
          <w:lang w:val="fr-CA"/>
        </w:rPr>
        <w:t>Advantage</w:t>
      </w:r>
      <w:proofErr w:type="spellEnd"/>
      <w:r w:rsidRPr="00F07170">
        <w:rPr>
          <w:lang w:val="fr-CA"/>
        </w:rPr>
        <w:t xml:space="preserve"> Method</w:t>
      </w:r>
      <w:r w:rsidR="00FC757A" w:rsidRPr="00F07170">
        <w:rPr>
          <w:lang w:val="fr-CA"/>
        </w:rPr>
        <w:t xml:space="preserve"> – Méthode des avantages à l’emploi pour le talent qualifié</w:t>
      </w:r>
      <w:r w:rsidRPr="00F07170">
        <w:rPr>
          <w:lang w:val="fr-CA"/>
        </w:rPr>
        <w:t xml:space="preserve">) a étudié comment le développement de ces compétences peut aider les </w:t>
      </w:r>
      <w:r w:rsidR="00150926" w:rsidRPr="00F07170">
        <w:rPr>
          <w:lang w:val="fr-CA"/>
        </w:rPr>
        <w:t>personnes en situation de handicap</w:t>
      </w:r>
      <w:r w:rsidRPr="00F07170">
        <w:rPr>
          <w:lang w:val="fr-CA"/>
        </w:rPr>
        <w:t xml:space="preserve"> dans leur recherche d</w:t>
      </w:r>
      <w:r w:rsidR="001407B6" w:rsidRPr="00F07170">
        <w:rPr>
          <w:lang w:val="fr-CA"/>
        </w:rPr>
        <w:t>’</w:t>
      </w:r>
      <w:r w:rsidRPr="00F07170">
        <w:rPr>
          <w:lang w:val="fr-CA"/>
        </w:rPr>
        <w:t>emploi et dans leur travail.</w:t>
      </w:r>
    </w:p>
    <w:p w14:paraId="21B066CD" w14:textId="1A48E0DA" w:rsidR="00330F23" w:rsidRPr="00F07170" w:rsidRDefault="00FC757A">
      <w:pPr>
        <w:rPr>
          <w:lang w:val="fr-CA"/>
        </w:rPr>
      </w:pPr>
      <w:r w:rsidRPr="00F07170">
        <w:rPr>
          <w:lang w:val="fr-CA"/>
        </w:rPr>
        <w:t xml:space="preserve">Nous avons recueilli des renseignements </w:t>
      </w:r>
      <w:r w:rsidR="00330F23" w:rsidRPr="00F07170">
        <w:rPr>
          <w:lang w:val="fr-CA"/>
        </w:rPr>
        <w:t>auprès d</w:t>
      </w:r>
      <w:r w:rsidR="001407B6" w:rsidRPr="00F07170">
        <w:rPr>
          <w:lang w:val="fr-CA"/>
        </w:rPr>
        <w:t>’</w:t>
      </w:r>
      <w:r w:rsidR="00330F23" w:rsidRPr="00F07170">
        <w:rPr>
          <w:lang w:val="fr-CA"/>
        </w:rPr>
        <w:t xml:space="preserve">employeurs, de </w:t>
      </w:r>
      <w:r w:rsidRPr="00F07170">
        <w:rPr>
          <w:lang w:val="fr-CA"/>
        </w:rPr>
        <w:t>fournisseurs</w:t>
      </w:r>
      <w:r w:rsidR="00330F23" w:rsidRPr="00F07170">
        <w:rPr>
          <w:lang w:val="fr-CA"/>
        </w:rPr>
        <w:t xml:space="preserve"> de services d</w:t>
      </w:r>
      <w:r w:rsidR="00B108A1" w:rsidRPr="00F07170">
        <w:rPr>
          <w:lang w:val="fr-CA"/>
        </w:rPr>
        <w:t>e soutien à l</w:t>
      </w:r>
      <w:r w:rsidR="001407B6" w:rsidRPr="00F07170">
        <w:rPr>
          <w:lang w:val="fr-CA"/>
        </w:rPr>
        <w:t>’</w:t>
      </w:r>
      <w:r w:rsidR="00330F23" w:rsidRPr="00F07170">
        <w:rPr>
          <w:lang w:val="fr-CA"/>
        </w:rPr>
        <w:t>emploi et de demandeurs d</w:t>
      </w:r>
      <w:r w:rsidR="001407B6" w:rsidRPr="00F07170">
        <w:rPr>
          <w:lang w:val="fr-CA"/>
        </w:rPr>
        <w:t>’</w:t>
      </w:r>
      <w:r w:rsidR="00330F23" w:rsidRPr="00F07170">
        <w:rPr>
          <w:lang w:val="fr-CA"/>
        </w:rPr>
        <w:t xml:space="preserve">emploi </w:t>
      </w:r>
      <w:r w:rsidRPr="00F07170">
        <w:rPr>
          <w:lang w:val="fr-CA"/>
        </w:rPr>
        <w:t xml:space="preserve">en situation de </w:t>
      </w:r>
      <w:r w:rsidR="00330F23" w:rsidRPr="00F07170">
        <w:rPr>
          <w:lang w:val="fr-CA"/>
        </w:rPr>
        <w:t>handicap</w:t>
      </w:r>
      <w:r w:rsidRPr="00F07170">
        <w:rPr>
          <w:lang w:val="fr-CA"/>
        </w:rPr>
        <w:t xml:space="preserve"> afin de créer</w:t>
      </w:r>
      <w:r w:rsidR="00330F23" w:rsidRPr="00F07170">
        <w:rPr>
          <w:lang w:val="fr-CA"/>
        </w:rPr>
        <w:t xml:space="preserve"> cette ressource </w:t>
      </w:r>
      <w:r w:rsidRPr="00F07170">
        <w:rPr>
          <w:lang w:val="fr-CA"/>
        </w:rPr>
        <w:t>et</w:t>
      </w:r>
      <w:r w:rsidR="00330F23" w:rsidRPr="00F07170">
        <w:rPr>
          <w:lang w:val="fr-CA"/>
        </w:rPr>
        <w:t xml:space="preserve"> partager nos connaissances sur les compétences transférables. </w:t>
      </w:r>
      <w:r w:rsidR="007D14ED" w:rsidRPr="00F07170">
        <w:rPr>
          <w:lang w:val="fr-CA"/>
        </w:rPr>
        <w:t xml:space="preserve">Le guide décrit </w:t>
      </w:r>
      <w:r w:rsidR="00330F23" w:rsidRPr="00F07170">
        <w:rPr>
          <w:lang w:val="fr-CA"/>
        </w:rPr>
        <w:t xml:space="preserve">ces compétences, </w:t>
      </w:r>
      <w:r w:rsidR="007D14ED" w:rsidRPr="00F07170">
        <w:rPr>
          <w:lang w:val="fr-CA"/>
        </w:rPr>
        <w:t xml:space="preserve">explique leur </w:t>
      </w:r>
      <w:r w:rsidR="00330F23" w:rsidRPr="00F07170">
        <w:rPr>
          <w:lang w:val="fr-CA"/>
        </w:rPr>
        <w:t>importan</w:t>
      </w:r>
      <w:r w:rsidR="007D14ED" w:rsidRPr="00F07170">
        <w:rPr>
          <w:lang w:val="fr-CA"/>
        </w:rPr>
        <w:t>c</w:t>
      </w:r>
      <w:r w:rsidR="00330F23" w:rsidRPr="00F07170">
        <w:rPr>
          <w:lang w:val="fr-CA"/>
        </w:rPr>
        <w:t>e et comment les développer</w:t>
      </w:r>
      <w:r w:rsidR="007D14ED" w:rsidRPr="00F07170">
        <w:rPr>
          <w:lang w:val="fr-CA"/>
        </w:rPr>
        <w:t>. Il fournit aussi des pratiques exemplaires</w:t>
      </w:r>
      <w:r w:rsidR="00330F23" w:rsidRPr="00F07170">
        <w:rPr>
          <w:lang w:val="fr-CA"/>
        </w:rPr>
        <w:t xml:space="preserve"> pour les </w:t>
      </w:r>
      <w:r w:rsidR="007D14ED" w:rsidRPr="00F07170">
        <w:rPr>
          <w:lang w:val="fr-CA"/>
        </w:rPr>
        <w:t>fournisseurs</w:t>
      </w:r>
      <w:r w:rsidR="00330F23" w:rsidRPr="00F07170">
        <w:rPr>
          <w:lang w:val="fr-CA"/>
        </w:rPr>
        <w:t xml:space="preserve"> de services d</w:t>
      </w:r>
      <w:r w:rsidR="001407B6" w:rsidRPr="00F07170">
        <w:rPr>
          <w:lang w:val="fr-CA"/>
        </w:rPr>
        <w:t>’</w:t>
      </w:r>
      <w:r w:rsidR="00330F23" w:rsidRPr="00F07170">
        <w:rPr>
          <w:lang w:val="fr-CA"/>
        </w:rPr>
        <w:t>accompagnement et de création de programmes de formation.</w:t>
      </w:r>
    </w:p>
    <w:p w14:paraId="321B57A4" w14:textId="5DFE0711" w:rsidR="008501D5" w:rsidRPr="00F07170" w:rsidRDefault="008501D5">
      <w:pPr>
        <w:rPr>
          <w:lang w:val="fr-CA"/>
        </w:rPr>
      </w:pPr>
      <w:r w:rsidRPr="00F07170">
        <w:rPr>
          <w:lang w:val="fr-CA"/>
        </w:rPr>
        <w:br w:type="page"/>
      </w:r>
    </w:p>
    <w:p w14:paraId="5F0F671F" w14:textId="02B00F6C" w:rsidR="00517AE8" w:rsidRPr="00F07170" w:rsidRDefault="00330F23" w:rsidP="002527FC">
      <w:pPr>
        <w:pStyle w:val="Heading3"/>
      </w:pPr>
      <w:r w:rsidRPr="00F07170">
        <w:lastRenderedPageBreak/>
        <w:t xml:space="preserve">Table des </w:t>
      </w:r>
      <w:r w:rsidR="007C6A17" w:rsidRPr="00F07170">
        <w:t>matières</w:t>
      </w:r>
    </w:p>
    <w:p w14:paraId="79241D79" w14:textId="33FF20CB" w:rsidR="00AF4F1F" w:rsidRPr="00F07170" w:rsidRDefault="00FE1B9B">
      <w:pPr>
        <w:pStyle w:val="TOC1"/>
        <w:tabs>
          <w:tab w:val="right" w:leader="dot" w:pos="9350"/>
        </w:tabs>
        <w:rPr>
          <w:rFonts w:eastAsiaTheme="minorEastAsia"/>
          <w:noProof/>
          <w:sz w:val="24"/>
          <w:szCs w:val="24"/>
        </w:rPr>
      </w:pPr>
      <w:r w:rsidRPr="00F07170">
        <w:fldChar w:fldCharType="begin"/>
      </w:r>
      <w:r w:rsidRPr="00F07170">
        <w:instrText xml:space="preserve"> TOC \o "1-2" \h \z \u </w:instrText>
      </w:r>
      <w:r w:rsidRPr="00F07170">
        <w:fldChar w:fldCharType="separate"/>
      </w:r>
      <w:hyperlink w:anchor="_Toc191281426" w:history="1">
        <w:r w:rsidR="00AF4F1F" w:rsidRPr="00F07170">
          <w:rPr>
            <w:rStyle w:val="Hyperlink"/>
            <w:noProof/>
            <w:lang w:val="fr-CA"/>
          </w:rPr>
          <w:t>Des assises solides : soutenir le développement de compétences transférables pour les demandeurs d’emploi en situation de handicap</w:t>
        </w:r>
        <w:r w:rsidR="00AF4F1F" w:rsidRPr="00F07170">
          <w:rPr>
            <w:noProof/>
            <w:webHidden/>
          </w:rPr>
          <w:tab/>
        </w:r>
        <w:r w:rsidR="00AF4F1F" w:rsidRPr="00F07170">
          <w:rPr>
            <w:noProof/>
            <w:webHidden/>
          </w:rPr>
          <w:fldChar w:fldCharType="begin"/>
        </w:r>
        <w:r w:rsidR="00AF4F1F" w:rsidRPr="00F07170">
          <w:rPr>
            <w:noProof/>
            <w:webHidden/>
          </w:rPr>
          <w:instrText xml:space="preserve"> PAGEREF _Toc191281426 \h </w:instrText>
        </w:r>
        <w:r w:rsidR="00AF4F1F" w:rsidRPr="00F07170">
          <w:rPr>
            <w:noProof/>
            <w:webHidden/>
          </w:rPr>
        </w:r>
        <w:r w:rsidR="00AF4F1F" w:rsidRPr="00F07170">
          <w:rPr>
            <w:noProof/>
            <w:webHidden/>
          </w:rPr>
          <w:fldChar w:fldCharType="separate"/>
        </w:r>
        <w:r w:rsidR="00AF4F1F" w:rsidRPr="00F07170">
          <w:rPr>
            <w:noProof/>
            <w:webHidden/>
          </w:rPr>
          <w:t>1</w:t>
        </w:r>
        <w:r w:rsidR="00AF4F1F" w:rsidRPr="00F07170">
          <w:rPr>
            <w:noProof/>
            <w:webHidden/>
          </w:rPr>
          <w:fldChar w:fldCharType="end"/>
        </w:r>
      </w:hyperlink>
    </w:p>
    <w:p w14:paraId="798B9D5F" w14:textId="1FAA3544" w:rsidR="00AF4F1F" w:rsidRPr="00F07170" w:rsidRDefault="00AF4F1F">
      <w:pPr>
        <w:pStyle w:val="TOC2"/>
        <w:tabs>
          <w:tab w:val="right" w:leader="dot" w:pos="9350"/>
        </w:tabs>
        <w:rPr>
          <w:rFonts w:eastAsiaTheme="minorEastAsia"/>
          <w:noProof/>
          <w:sz w:val="24"/>
          <w:szCs w:val="24"/>
        </w:rPr>
      </w:pPr>
      <w:hyperlink w:anchor="_Toc191281427" w:history="1">
        <w:r w:rsidRPr="00F07170">
          <w:rPr>
            <w:rStyle w:val="Hyperlink"/>
            <w:noProof/>
            <w:lang w:val="fr-CA"/>
          </w:rPr>
          <w:t>Introduction</w:t>
        </w:r>
        <w:r w:rsidRPr="00F07170">
          <w:rPr>
            <w:noProof/>
            <w:webHidden/>
          </w:rPr>
          <w:tab/>
        </w:r>
        <w:r w:rsidRPr="00F07170">
          <w:rPr>
            <w:noProof/>
            <w:webHidden/>
          </w:rPr>
          <w:fldChar w:fldCharType="begin"/>
        </w:r>
        <w:r w:rsidRPr="00F07170">
          <w:rPr>
            <w:noProof/>
            <w:webHidden/>
          </w:rPr>
          <w:instrText xml:space="preserve"> PAGEREF _Toc191281427 \h </w:instrText>
        </w:r>
        <w:r w:rsidRPr="00F07170">
          <w:rPr>
            <w:noProof/>
            <w:webHidden/>
          </w:rPr>
        </w:r>
        <w:r w:rsidRPr="00F07170">
          <w:rPr>
            <w:noProof/>
            <w:webHidden/>
          </w:rPr>
          <w:fldChar w:fldCharType="separate"/>
        </w:r>
        <w:r w:rsidRPr="00F07170">
          <w:rPr>
            <w:noProof/>
            <w:webHidden/>
          </w:rPr>
          <w:t>2</w:t>
        </w:r>
        <w:r w:rsidRPr="00F07170">
          <w:rPr>
            <w:noProof/>
            <w:webHidden/>
          </w:rPr>
          <w:fldChar w:fldCharType="end"/>
        </w:r>
      </w:hyperlink>
    </w:p>
    <w:p w14:paraId="7C212D6F" w14:textId="03619EFA" w:rsidR="00AF4F1F" w:rsidRPr="00F07170" w:rsidRDefault="00AF4F1F">
      <w:pPr>
        <w:pStyle w:val="TOC2"/>
        <w:tabs>
          <w:tab w:val="right" w:leader="dot" w:pos="9350"/>
        </w:tabs>
        <w:rPr>
          <w:rFonts w:eastAsiaTheme="minorEastAsia"/>
          <w:noProof/>
          <w:sz w:val="24"/>
          <w:szCs w:val="24"/>
        </w:rPr>
      </w:pPr>
      <w:hyperlink w:anchor="_Toc191281428" w:history="1">
        <w:r w:rsidRPr="00F07170">
          <w:rPr>
            <w:rStyle w:val="Hyperlink"/>
            <w:noProof/>
            <w:lang w:val="fr-CA"/>
          </w:rPr>
          <w:t>Qu’est-ce qu’une compétence transférable?</w:t>
        </w:r>
        <w:r w:rsidRPr="00F07170">
          <w:rPr>
            <w:noProof/>
            <w:webHidden/>
          </w:rPr>
          <w:tab/>
        </w:r>
        <w:r w:rsidRPr="00F07170">
          <w:rPr>
            <w:noProof/>
            <w:webHidden/>
          </w:rPr>
          <w:fldChar w:fldCharType="begin"/>
        </w:r>
        <w:r w:rsidRPr="00F07170">
          <w:rPr>
            <w:noProof/>
            <w:webHidden/>
          </w:rPr>
          <w:instrText xml:space="preserve"> PAGEREF _Toc191281428 \h </w:instrText>
        </w:r>
        <w:r w:rsidRPr="00F07170">
          <w:rPr>
            <w:noProof/>
            <w:webHidden/>
          </w:rPr>
        </w:r>
        <w:r w:rsidRPr="00F07170">
          <w:rPr>
            <w:noProof/>
            <w:webHidden/>
          </w:rPr>
          <w:fldChar w:fldCharType="separate"/>
        </w:r>
        <w:r w:rsidRPr="00F07170">
          <w:rPr>
            <w:noProof/>
            <w:webHidden/>
          </w:rPr>
          <w:t>4</w:t>
        </w:r>
        <w:r w:rsidRPr="00F07170">
          <w:rPr>
            <w:noProof/>
            <w:webHidden/>
          </w:rPr>
          <w:fldChar w:fldCharType="end"/>
        </w:r>
      </w:hyperlink>
    </w:p>
    <w:p w14:paraId="1FD8F922" w14:textId="48FB803A" w:rsidR="00AF4F1F" w:rsidRPr="00F07170" w:rsidRDefault="00AF4F1F">
      <w:pPr>
        <w:pStyle w:val="TOC2"/>
        <w:tabs>
          <w:tab w:val="right" w:leader="dot" w:pos="9350"/>
        </w:tabs>
        <w:rPr>
          <w:rFonts w:eastAsiaTheme="minorEastAsia"/>
          <w:noProof/>
          <w:sz w:val="24"/>
          <w:szCs w:val="24"/>
        </w:rPr>
      </w:pPr>
      <w:hyperlink w:anchor="_Toc191281429" w:history="1">
        <w:r w:rsidRPr="00F07170">
          <w:rPr>
            <w:rStyle w:val="Hyperlink"/>
            <w:noProof/>
            <w:lang w:val="fr-CA"/>
          </w:rPr>
          <w:t>L’importance des compétences transférables</w:t>
        </w:r>
        <w:r w:rsidRPr="00F07170">
          <w:rPr>
            <w:noProof/>
            <w:webHidden/>
          </w:rPr>
          <w:tab/>
        </w:r>
        <w:r w:rsidRPr="00F07170">
          <w:rPr>
            <w:noProof/>
            <w:webHidden/>
          </w:rPr>
          <w:fldChar w:fldCharType="begin"/>
        </w:r>
        <w:r w:rsidRPr="00F07170">
          <w:rPr>
            <w:noProof/>
            <w:webHidden/>
          </w:rPr>
          <w:instrText xml:space="preserve"> PAGEREF _Toc191281429 \h </w:instrText>
        </w:r>
        <w:r w:rsidRPr="00F07170">
          <w:rPr>
            <w:noProof/>
            <w:webHidden/>
          </w:rPr>
        </w:r>
        <w:r w:rsidRPr="00F07170">
          <w:rPr>
            <w:noProof/>
            <w:webHidden/>
          </w:rPr>
          <w:fldChar w:fldCharType="separate"/>
        </w:r>
        <w:r w:rsidRPr="00F07170">
          <w:rPr>
            <w:noProof/>
            <w:webHidden/>
          </w:rPr>
          <w:t>5</w:t>
        </w:r>
        <w:r w:rsidRPr="00F07170">
          <w:rPr>
            <w:noProof/>
            <w:webHidden/>
          </w:rPr>
          <w:fldChar w:fldCharType="end"/>
        </w:r>
      </w:hyperlink>
    </w:p>
    <w:p w14:paraId="61DA3FED" w14:textId="40865048" w:rsidR="00AF4F1F" w:rsidRPr="00F07170" w:rsidRDefault="00AF4F1F">
      <w:pPr>
        <w:pStyle w:val="TOC2"/>
        <w:tabs>
          <w:tab w:val="right" w:leader="dot" w:pos="9350"/>
        </w:tabs>
        <w:rPr>
          <w:rFonts w:eastAsiaTheme="minorEastAsia"/>
          <w:noProof/>
          <w:sz w:val="24"/>
          <w:szCs w:val="24"/>
        </w:rPr>
      </w:pPr>
      <w:hyperlink w:anchor="_Toc191281430" w:history="1">
        <w:r w:rsidRPr="00F07170">
          <w:rPr>
            <w:rStyle w:val="Hyperlink"/>
            <w:noProof/>
            <w:lang w:val="fr-CA"/>
          </w:rPr>
          <w:t>Perception 1 : Il faut de solides compétences en communication.</w:t>
        </w:r>
        <w:r w:rsidRPr="00F07170">
          <w:rPr>
            <w:noProof/>
            <w:webHidden/>
          </w:rPr>
          <w:tab/>
        </w:r>
        <w:r w:rsidRPr="00F07170">
          <w:rPr>
            <w:noProof/>
            <w:webHidden/>
          </w:rPr>
          <w:fldChar w:fldCharType="begin"/>
        </w:r>
        <w:r w:rsidRPr="00F07170">
          <w:rPr>
            <w:noProof/>
            <w:webHidden/>
          </w:rPr>
          <w:instrText xml:space="preserve"> PAGEREF _Toc191281430 \h </w:instrText>
        </w:r>
        <w:r w:rsidRPr="00F07170">
          <w:rPr>
            <w:noProof/>
            <w:webHidden/>
          </w:rPr>
        </w:r>
        <w:r w:rsidRPr="00F07170">
          <w:rPr>
            <w:noProof/>
            <w:webHidden/>
          </w:rPr>
          <w:fldChar w:fldCharType="separate"/>
        </w:r>
        <w:r w:rsidRPr="00F07170">
          <w:rPr>
            <w:noProof/>
            <w:webHidden/>
          </w:rPr>
          <w:t>7</w:t>
        </w:r>
        <w:r w:rsidRPr="00F07170">
          <w:rPr>
            <w:noProof/>
            <w:webHidden/>
          </w:rPr>
          <w:fldChar w:fldCharType="end"/>
        </w:r>
      </w:hyperlink>
    </w:p>
    <w:p w14:paraId="0CD3583E" w14:textId="0D2860E5" w:rsidR="00AF4F1F" w:rsidRPr="00F07170" w:rsidRDefault="00AF4F1F">
      <w:pPr>
        <w:pStyle w:val="TOC2"/>
        <w:tabs>
          <w:tab w:val="right" w:leader="dot" w:pos="9350"/>
        </w:tabs>
        <w:rPr>
          <w:rFonts w:eastAsiaTheme="minorEastAsia"/>
          <w:noProof/>
          <w:sz w:val="24"/>
          <w:szCs w:val="24"/>
        </w:rPr>
      </w:pPr>
      <w:hyperlink w:anchor="_Toc191281431" w:history="1">
        <w:r w:rsidRPr="00F07170">
          <w:rPr>
            <w:rStyle w:val="Hyperlink"/>
            <w:noProof/>
            <w:lang w:val="fr-CA"/>
          </w:rPr>
          <w:t>Perception 2 : Les travailleurs en situation de handicap apportent diverses forces dans le milieu de travail.</w:t>
        </w:r>
        <w:r w:rsidRPr="00F07170">
          <w:rPr>
            <w:noProof/>
            <w:webHidden/>
          </w:rPr>
          <w:tab/>
        </w:r>
        <w:r w:rsidRPr="00F07170">
          <w:rPr>
            <w:noProof/>
            <w:webHidden/>
          </w:rPr>
          <w:fldChar w:fldCharType="begin"/>
        </w:r>
        <w:r w:rsidRPr="00F07170">
          <w:rPr>
            <w:noProof/>
            <w:webHidden/>
          </w:rPr>
          <w:instrText xml:space="preserve"> PAGEREF _Toc191281431 \h </w:instrText>
        </w:r>
        <w:r w:rsidRPr="00F07170">
          <w:rPr>
            <w:noProof/>
            <w:webHidden/>
          </w:rPr>
        </w:r>
        <w:r w:rsidRPr="00F07170">
          <w:rPr>
            <w:noProof/>
            <w:webHidden/>
          </w:rPr>
          <w:fldChar w:fldCharType="separate"/>
        </w:r>
        <w:r w:rsidRPr="00F07170">
          <w:rPr>
            <w:noProof/>
            <w:webHidden/>
          </w:rPr>
          <w:t>9</w:t>
        </w:r>
        <w:r w:rsidRPr="00F07170">
          <w:rPr>
            <w:noProof/>
            <w:webHidden/>
          </w:rPr>
          <w:fldChar w:fldCharType="end"/>
        </w:r>
      </w:hyperlink>
    </w:p>
    <w:p w14:paraId="22ED00A4" w14:textId="1601DF7A" w:rsidR="00AF4F1F" w:rsidRPr="00F07170" w:rsidRDefault="00AF4F1F">
      <w:pPr>
        <w:pStyle w:val="TOC2"/>
        <w:tabs>
          <w:tab w:val="right" w:leader="dot" w:pos="9350"/>
        </w:tabs>
        <w:rPr>
          <w:rFonts w:eastAsiaTheme="minorEastAsia"/>
          <w:noProof/>
          <w:sz w:val="24"/>
          <w:szCs w:val="24"/>
        </w:rPr>
      </w:pPr>
      <w:hyperlink w:anchor="_Toc191281432" w:history="1">
        <w:r w:rsidRPr="00F07170">
          <w:rPr>
            <w:rStyle w:val="Hyperlink"/>
            <w:noProof/>
            <w:lang w:val="fr-CA"/>
          </w:rPr>
          <w:t>Perception 3 : La créativité et l’innovation : des avantages méconnus.</w:t>
        </w:r>
        <w:r w:rsidRPr="00F07170">
          <w:rPr>
            <w:noProof/>
            <w:webHidden/>
          </w:rPr>
          <w:tab/>
        </w:r>
        <w:r w:rsidRPr="00F07170">
          <w:rPr>
            <w:noProof/>
            <w:webHidden/>
          </w:rPr>
          <w:fldChar w:fldCharType="begin"/>
        </w:r>
        <w:r w:rsidRPr="00F07170">
          <w:rPr>
            <w:noProof/>
            <w:webHidden/>
          </w:rPr>
          <w:instrText xml:space="preserve"> PAGEREF _Toc191281432 \h </w:instrText>
        </w:r>
        <w:r w:rsidRPr="00F07170">
          <w:rPr>
            <w:noProof/>
            <w:webHidden/>
          </w:rPr>
        </w:r>
        <w:r w:rsidRPr="00F07170">
          <w:rPr>
            <w:noProof/>
            <w:webHidden/>
          </w:rPr>
          <w:fldChar w:fldCharType="separate"/>
        </w:r>
        <w:r w:rsidRPr="00F07170">
          <w:rPr>
            <w:noProof/>
            <w:webHidden/>
          </w:rPr>
          <w:t>12</w:t>
        </w:r>
        <w:r w:rsidRPr="00F07170">
          <w:rPr>
            <w:noProof/>
            <w:webHidden/>
          </w:rPr>
          <w:fldChar w:fldCharType="end"/>
        </w:r>
      </w:hyperlink>
    </w:p>
    <w:p w14:paraId="793E5D4E" w14:textId="1CC058BB" w:rsidR="00AF4F1F" w:rsidRPr="00F07170" w:rsidRDefault="00AF4F1F">
      <w:pPr>
        <w:pStyle w:val="TOC2"/>
        <w:tabs>
          <w:tab w:val="right" w:leader="dot" w:pos="9350"/>
        </w:tabs>
        <w:rPr>
          <w:rFonts w:eastAsiaTheme="minorEastAsia"/>
          <w:noProof/>
          <w:sz w:val="24"/>
          <w:szCs w:val="24"/>
        </w:rPr>
      </w:pPr>
      <w:hyperlink w:anchor="_Toc191281433" w:history="1">
        <w:r w:rsidRPr="00F07170">
          <w:rPr>
            <w:rStyle w:val="Hyperlink"/>
            <w:noProof/>
            <w:lang w:val="fr-CA"/>
          </w:rPr>
          <w:t>Comment les fournisseurs de services de soutien à l’emploi peuvent-ils aider au développement de compétences transférables?</w:t>
        </w:r>
        <w:r w:rsidRPr="00F07170">
          <w:rPr>
            <w:noProof/>
            <w:webHidden/>
          </w:rPr>
          <w:tab/>
        </w:r>
        <w:r w:rsidRPr="00F07170">
          <w:rPr>
            <w:noProof/>
            <w:webHidden/>
          </w:rPr>
          <w:fldChar w:fldCharType="begin"/>
        </w:r>
        <w:r w:rsidRPr="00F07170">
          <w:rPr>
            <w:noProof/>
            <w:webHidden/>
          </w:rPr>
          <w:instrText xml:space="preserve"> PAGEREF _Toc191281433 \h </w:instrText>
        </w:r>
        <w:r w:rsidRPr="00F07170">
          <w:rPr>
            <w:noProof/>
            <w:webHidden/>
          </w:rPr>
        </w:r>
        <w:r w:rsidRPr="00F07170">
          <w:rPr>
            <w:noProof/>
            <w:webHidden/>
          </w:rPr>
          <w:fldChar w:fldCharType="separate"/>
        </w:r>
        <w:r w:rsidRPr="00F07170">
          <w:rPr>
            <w:noProof/>
            <w:webHidden/>
          </w:rPr>
          <w:t>13</w:t>
        </w:r>
        <w:r w:rsidRPr="00F07170">
          <w:rPr>
            <w:noProof/>
            <w:webHidden/>
          </w:rPr>
          <w:fldChar w:fldCharType="end"/>
        </w:r>
      </w:hyperlink>
    </w:p>
    <w:p w14:paraId="688E6F59" w14:textId="707158A1" w:rsidR="00AF4F1F" w:rsidRPr="00F07170" w:rsidRDefault="00AF4F1F">
      <w:pPr>
        <w:pStyle w:val="TOC2"/>
        <w:tabs>
          <w:tab w:val="right" w:leader="dot" w:pos="9350"/>
        </w:tabs>
        <w:rPr>
          <w:rFonts w:eastAsiaTheme="minorEastAsia"/>
          <w:noProof/>
          <w:sz w:val="24"/>
          <w:szCs w:val="24"/>
        </w:rPr>
      </w:pPr>
      <w:hyperlink w:anchor="_Toc191281434" w:history="1">
        <w:r w:rsidRPr="00F07170">
          <w:rPr>
            <w:rStyle w:val="Hyperlink"/>
            <w:noProof/>
            <w:lang w:val="fr-CA"/>
          </w:rPr>
          <w:t>Recommandation 1 : Mettre en place des programmes de formation efficaces et accessibles.</w:t>
        </w:r>
        <w:r w:rsidRPr="00F07170">
          <w:rPr>
            <w:noProof/>
            <w:webHidden/>
          </w:rPr>
          <w:tab/>
        </w:r>
        <w:r w:rsidRPr="00F07170">
          <w:rPr>
            <w:noProof/>
            <w:webHidden/>
          </w:rPr>
          <w:fldChar w:fldCharType="begin"/>
        </w:r>
        <w:r w:rsidRPr="00F07170">
          <w:rPr>
            <w:noProof/>
            <w:webHidden/>
          </w:rPr>
          <w:instrText xml:space="preserve"> PAGEREF _Toc191281434 \h </w:instrText>
        </w:r>
        <w:r w:rsidRPr="00F07170">
          <w:rPr>
            <w:noProof/>
            <w:webHidden/>
          </w:rPr>
        </w:r>
        <w:r w:rsidRPr="00F07170">
          <w:rPr>
            <w:noProof/>
            <w:webHidden/>
          </w:rPr>
          <w:fldChar w:fldCharType="separate"/>
        </w:r>
        <w:r w:rsidRPr="00F07170">
          <w:rPr>
            <w:noProof/>
            <w:webHidden/>
          </w:rPr>
          <w:t>14</w:t>
        </w:r>
        <w:r w:rsidRPr="00F07170">
          <w:rPr>
            <w:noProof/>
            <w:webHidden/>
          </w:rPr>
          <w:fldChar w:fldCharType="end"/>
        </w:r>
      </w:hyperlink>
    </w:p>
    <w:p w14:paraId="3B528678" w14:textId="3535A05C" w:rsidR="00AF4F1F" w:rsidRPr="00F07170" w:rsidRDefault="00AF4F1F">
      <w:pPr>
        <w:pStyle w:val="TOC2"/>
        <w:tabs>
          <w:tab w:val="right" w:leader="dot" w:pos="9350"/>
        </w:tabs>
        <w:rPr>
          <w:rFonts w:eastAsiaTheme="minorEastAsia"/>
          <w:noProof/>
          <w:sz w:val="24"/>
          <w:szCs w:val="24"/>
        </w:rPr>
      </w:pPr>
      <w:hyperlink w:anchor="_Toc191281435" w:history="1">
        <w:r w:rsidRPr="00F07170">
          <w:rPr>
            <w:rStyle w:val="Hyperlink"/>
            <w:noProof/>
            <w:lang w:val="fr-CA"/>
          </w:rPr>
          <w:t>Recommandation 2 : Aider les demandeurs d’emploi à reconnaître et à faire valoir leurs points forts.</w:t>
        </w:r>
        <w:r w:rsidRPr="00F07170">
          <w:rPr>
            <w:noProof/>
            <w:webHidden/>
          </w:rPr>
          <w:tab/>
        </w:r>
        <w:r w:rsidRPr="00F07170">
          <w:rPr>
            <w:noProof/>
            <w:webHidden/>
          </w:rPr>
          <w:fldChar w:fldCharType="begin"/>
        </w:r>
        <w:r w:rsidRPr="00F07170">
          <w:rPr>
            <w:noProof/>
            <w:webHidden/>
          </w:rPr>
          <w:instrText xml:space="preserve"> PAGEREF _Toc191281435 \h </w:instrText>
        </w:r>
        <w:r w:rsidRPr="00F07170">
          <w:rPr>
            <w:noProof/>
            <w:webHidden/>
          </w:rPr>
        </w:r>
        <w:r w:rsidRPr="00F07170">
          <w:rPr>
            <w:noProof/>
            <w:webHidden/>
          </w:rPr>
          <w:fldChar w:fldCharType="separate"/>
        </w:r>
        <w:r w:rsidRPr="00F07170">
          <w:rPr>
            <w:noProof/>
            <w:webHidden/>
          </w:rPr>
          <w:t>16</w:t>
        </w:r>
        <w:r w:rsidRPr="00F07170">
          <w:rPr>
            <w:noProof/>
            <w:webHidden/>
          </w:rPr>
          <w:fldChar w:fldCharType="end"/>
        </w:r>
      </w:hyperlink>
    </w:p>
    <w:p w14:paraId="67FD7AF7" w14:textId="1BDC1003" w:rsidR="00AF4F1F" w:rsidRPr="00F07170" w:rsidRDefault="00AF4F1F">
      <w:pPr>
        <w:pStyle w:val="TOC2"/>
        <w:tabs>
          <w:tab w:val="right" w:leader="dot" w:pos="9350"/>
        </w:tabs>
        <w:rPr>
          <w:rFonts w:eastAsiaTheme="minorEastAsia"/>
          <w:noProof/>
          <w:sz w:val="24"/>
          <w:szCs w:val="24"/>
        </w:rPr>
      </w:pPr>
      <w:hyperlink w:anchor="_Toc191281436" w:history="1">
        <w:r w:rsidRPr="00F07170">
          <w:rPr>
            <w:rStyle w:val="Hyperlink"/>
            <w:noProof/>
            <w:lang w:val="fr-CA"/>
          </w:rPr>
          <w:t>Recommandation 3 : Sensibiliser, déconstruire les idées fausses et promouvoir l’inclusion des personnes en situation de handicap.</w:t>
        </w:r>
        <w:r w:rsidRPr="00F07170">
          <w:rPr>
            <w:noProof/>
            <w:webHidden/>
          </w:rPr>
          <w:tab/>
        </w:r>
        <w:r w:rsidRPr="00F07170">
          <w:rPr>
            <w:noProof/>
            <w:webHidden/>
          </w:rPr>
          <w:fldChar w:fldCharType="begin"/>
        </w:r>
        <w:r w:rsidRPr="00F07170">
          <w:rPr>
            <w:noProof/>
            <w:webHidden/>
          </w:rPr>
          <w:instrText xml:space="preserve"> PAGEREF _Toc191281436 \h </w:instrText>
        </w:r>
        <w:r w:rsidRPr="00F07170">
          <w:rPr>
            <w:noProof/>
            <w:webHidden/>
          </w:rPr>
        </w:r>
        <w:r w:rsidRPr="00F07170">
          <w:rPr>
            <w:noProof/>
            <w:webHidden/>
          </w:rPr>
          <w:fldChar w:fldCharType="separate"/>
        </w:r>
        <w:r w:rsidRPr="00F07170">
          <w:rPr>
            <w:noProof/>
            <w:webHidden/>
          </w:rPr>
          <w:t>17</w:t>
        </w:r>
        <w:r w:rsidRPr="00F07170">
          <w:rPr>
            <w:noProof/>
            <w:webHidden/>
          </w:rPr>
          <w:fldChar w:fldCharType="end"/>
        </w:r>
      </w:hyperlink>
    </w:p>
    <w:p w14:paraId="0263399D" w14:textId="54888B54" w:rsidR="00AF4F1F" w:rsidRPr="00F07170" w:rsidRDefault="00AF4F1F">
      <w:pPr>
        <w:pStyle w:val="TOC2"/>
        <w:tabs>
          <w:tab w:val="right" w:leader="dot" w:pos="9350"/>
        </w:tabs>
        <w:rPr>
          <w:rFonts w:eastAsiaTheme="minorEastAsia"/>
          <w:noProof/>
          <w:sz w:val="24"/>
          <w:szCs w:val="24"/>
        </w:rPr>
      </w:pPr>
      <w:hyperlink w:anchor="_Toc191281437" w:history="1">
        <w:r w:rsidRPr="00F07170">
          <w:rPr>
            <w:rStyle w:val="Hyperlink"/>
            <w:noProof/>
            <w:lang w:val="fr-CA"/>
          </w:rPr>
          <w:t>Autres ressources</w:t>
        </w:r>
        <w:r w:rsidRPr="00F07170">
          <w:rPr>
            <w:noProof/>
            <w:webHidden/>
          </w:rPr>
          <w:tab/>
        </w:r>
        <w:r w:rsidRPr="00F07170">
          <w:rPr>
            <w:noProof/>
            <w:webHidden/>
          </w:rPr>
          <w:fldChar w:fldCharType="begin"/>
        </w:r>
        <w:r w:rsidRPr="00F07170">
          <w:rPr>
            <w:noProof/>
            <w:webHidden/>
          </w:rPr>
          <w:instrText xml:space="preserve"> PAGEREF _Toc191281437 \h </w:instrText>
        </w:r>
        <w:r w:rsidRPr="00F07170">
          <w:rPr>
            <w:noProof/>
            <w:webHidden/>
          </w:rPr>
        </w:r>
        <w:r w:rsidRPr="00F07170">
          <w:rPr>
            <w:noProof/>
            <w:webHidden/>
          </w:rPr>
          <w:fldChar w:fldCharType="separate"/>
        </w:r>
        <w:r w:rsidRPr="00F07170">
          <w:rPr>
            <w:noProof/>
            <w:webHidden/>
          </w:rPr>
          <w:t>18</w:t>
        </w:r>
        <w:r w:rsidRPr="00F07170">
          <w:rPr>
            <w:noProof/>
            <w:webHidden/>
          </w:rPr>
          <w:fldChar w:fldCharType="end"/>
        </w:r>
      </w:hyperlink>
    </w:p>
    <w:p w14:paraId="33A5F462" w14:textId="18B81555" w:rsidR="00AF4F1F" w:rsidRPr="00F07170" w:rsidRDefault="00AF4F1F">
      <w:pPr>
        <w:pStyle w:val="TOC2"/>
        <w:tabs>
          <w:tab w:val="right" w:leader="dot" w:pos="9350"/>
        </w:tabs>
        <w:rPr>
          <w:rFonts w:eastAsiaTheme="minorEastAsia"/>
          <w:noProof/>
          <w:sz w:val="24"/>
          <w:szCs w:val="24"/>
        </w:rPr>
      </w:pPr>
      <w:hyperlink w:anchor="_Toc191281438" w:history="1">
        <w:r w:rsidRPr="00F07170">
          <w:rPr>
            <w:rStyle w:val="Hyperlink"/>
            <w:noProof/>
          </w:rPr>
          <w:t>Références</w:t>
        </w:r>
        <w:r w:rsidRPr="00F07170">
          <w:rPr>
            <w:noProof/>
            <w:webHidden/>
          </w:rPr>
          <w:tab/>
        </w:r>
        <w:r w:rsidRPr="00F07170">
          <w:rPr>
            <w:noProof/>
            <w:webHidden/>
          </w:rPr>
          <w:fldChar w:fldCharType="begin"/>
        </w:r>
        <w:r w:rsidRPr="00F07170">
          <w:rPr>
            <w:noProof/>
            <w:webHidden/>
          </w:rPr>
          <w:instrText xml:space="preserve"> PAGEREF _Toc191281438 \h </w:instrText>
        </w:r>
        <w:r w:rsidRPr="00F07170">
          <w:rPr>
            <w:noProof/>
            <w:webHidden/>
          </w:rPr>
        </w:r>
        <w:r w:rsidRPr="00F07170">
          <w:rPr>
            <w:noProof/>
            <w:webHidden/>
          </w:rPr>
          <w:fldChar w:fldCharType="separate"/>
        </w:r>
        <w:r w:rsidRPr="00F07170">
          <w:rPr>
            <w:noProof/>
            <w:webHidden/>
          </w:rPr>
          <w:t>19</w:t>
        </w:r>
        <w:r w:rsidRPr="00F07170">
          <w:rPr>
            <w:noProof/>
            <w:webHidden/>
          </w:rPr>
          <w:fldChar w:fldCharType="end"/>
        </w:r>
      </w:hyperlink>
    </w:p>
    <w:p w14:paraId="5CC0FBA6" w14:textId="009D1DDD" w:rsidR="008501D5" w:rsidRPr="00F07170" w:rsidRDefault="00FE1B9B" w:rsidP="008501D5">
      <w:pPr>
        <w:pStyle w:val="TOC2"/>
        <w:tabs>
          <w:tab w:val="right" w:pos="9350"/>
        </w:tabs>
      </w:pPr>
      <w:r w:rsidRPr="00F07170">
        <w:fldChar w:fldCharType="end"/>
      </w:r>
    </w:p>
    <w:p w14:paraId="11CDBA8A" w14:textId="77777777" w:rsidR="008501D5" w:rsidRPr="00F07170" w:rsidRDefault="008501D5">
      <w:r w:rsidRPr="00F07170">
        <w:br w:type="page"/>
      </w:r>
    </w:p>
    <w:p w14:paraId="08F0D558" w14:textId="590F15EC" w:rsidR="007D4BB3" w:rsidRPr="00F07170" w:rsidRDefault="007D4BB3" w:rsidP="005B3B8B">
      <w:pPr>
        <w:pStyle w:val="Heading2"/>
        <w:rPr>
          <w:lang w:val="fr-CA"/>
        </w:rPr>
      </w:pPr>
      <w:bookmarkStart w:id="2" w:name="_Toc191281428"/>
      <w:r w:rsidRPr="00F07170">
        <w:rPr>
          <w:lang w:val="fr-CA"/>
        </w:rPr>
        <w:lastRenderedPageBreak/>
        <w:t>Qu</w:t>
      </w:r>
      <w:r w:rsidR="001407B6" w:rsidRPr="00F07170">
        <w:rPr>
          <w:lang w:val="fr-CA"/>
        </w:rPr>
        <w:t>’</w:t>
      </w:r>
      <w:r w:rsidRPr="00F07170">
        <w:rPr>
          <w:lang w:val="fr-CA"/>
        </w:rPr>
        <w:t>est-ce qu</w:t>
      </w:r>
      <w:r w:rsidR="001407B6" w:rsidRPr="00F07170">
        <w:rPr>
          <w:lang w:val="fr-CA"/>
        </w:rPr>
        <w:t>’</w:t>
      </w:r>
      <w:r w:rsidRPr="00F07170">
        <w:rPr>
          <w:lang w:val="fr-CA"/>
        </w:rPr>
        <w:t>une compétence transférable?</w:t>
      </w:r>
      <w:bookmarkEnd w:id="2"/>
    </w:p>
    <w:p w14:paraId="3BE1F8F6" w14:textId="27E43C12" w:rsidR="00D0042A" w:rsidRPr="00F07170" w:rsidRDefault="005B3B8B" w:rsidP="00F718DC">
      <w:pPr>
        <w:rPr>
          <w:lang w:val="fr-CA"/>
        </w:rPr>
      </w:pPr>
      <w:r w:rsidRPr="00F07170">
        <w:rPr>
          <w:lang w:val="fr-CA"/>
        </w:rPr>
        <w:t xml:space="preserve">Les compétences transférables, </w:t>
      </w:r>
      <w:r w:rsidR="007D14ED" w:rsidRPr="00F07170">
        <w:rPr>
          <w:lang w:val="fr-CA"/>
        </w:rPr>
        <w:t xml:space="preserve">qu’on appelle </w:t>
      </w:r>
      <w:r w:rsidRPr="00F07170">
        <w:rPr>
          <w:lang w:val="fr-CA"/>
        </w:rPr>
        <w:t xml:space="preserve">parfois compétences non techniques ou compétences </w:t>
      </w:r>
      <w:proofErr w:type="spellStart"/>
      <w:r w:rsidRPr="00F07170">
        <w:rPr>
          <w:lang w:val="fr-CA"/>
        </w:rPr>
        <w:t>socio</w:t>
      </w:r>
      <w:r w:rsidR="007D14ED" w:rsidRPr="00F07170">
        <w:rPr>
          <w:lang w:val="fr-CA"/>
        </w:rPr>
        <w:t>émotionnelles</w:t>
      </w:r>
      <w:proofErr w:type="spellEnd"/>
      <w:r w:rsidR="007D14ED" w:rsidRPr="00F07170">
        <w:rPr>
          <w:lang w:val="fr-CA"/>
        </w:rPr>
        <w:t>, englobent</w:t>
      </w:r>
      <w:r w:rsidRPr="00F07170">
        <w:rPr>
          <w:lang w:val="fr-CA"/>
        </w:rPr>
        <w:t xml:space="preserve"> la réflexion, la création et l</w:t>
      </w:r>
      <w:r w:rsidR="001407B6" w:rsidRPr="00F07170">
        <w:rPr>
          <w:lang w:val="fr-CA"/>
        </w:rPr>
        <w:t>’</w:t>
      </w:r>
      <w:r w:rsidRPr="00F07170">
        <w:rPr>
          <w:lang w:val="fr-CA"/>
        </w:rPr>
        <w:t xml:space="preserve">interaction avec les autres. </w:t>
      </w:r>
      <w:r w:rsidR="007D14ED" w:rsidRPr="00F07170">
        <w:rPr>
          <w:lang w:val="fr-CA"/>
        </w:rPr>
        <w:t xml:space="preserve">Il s’agit de compétences de base qui s’appliquent dans tous les domaines, ce qui </w:t>
      </w:r>
      <w:r w:rsidRPr="00F07170">
        <w:rPr>
          <w:lang w:val="fr-CA"/>
        </w:rPr>
        <w:t>signifie qu</w:t>
      </w:r>
      <w:r w:rsidR="001407B6" w:rsidRPr="00F07170">
        <w:rPr>
          <w:lang w:val="fr-CA"/>
        </w:rPr>
        <w:t>’</w:t>
      </w:r>
      <w:r w:rsidRPr="00F07170">
        <w:rPr>
          <w:lang w:val="fr-CA"/>
        </w:rPr>
        <w:t>elles ne s</w:t>
      </w:r>
      <w:r w:rsidR="007D14ED" w:rsidRPr="00F07170">
        <w:rPr>
          <w:lang w:val="fr-CA"/>
        </w:rPr>
        <w:t xml:space="preserve">e limitent </w:t>
      </w:r>
      <w:r w:rsidRPr="00F07170">
        <w:rPr>
          <w:lang w:val="fr-CA"/>
        </w:rPr>
        <w:t>pas à une industrie, un secteur, un rôle ou un lieu de travail particulier. Elles s</w:t>
      </w:r>
      <w:r w:rsidR="007D14ED" w:rsidRPr="00F07170">
        <w:rPr>
          <w:lang w:val="fr-CA"/>
        </w:rPr>
        <w:t>’appliquent</w:t>
      </w:r>
      <w:r w:rsidRPr="00F07170">
        <w:rPr>
          <w:lang w:val="fr-CA"/>
        </w:rPr>
        <w:t xml:space="preserve"> à tou</w:t>
      </w:r>
      <w:r w:rsidR="007D14ED" w:rsidRPr="00F07170">
        <w:rPr>
          <w:lang w:val="fr-CA"/>
        </w:rPr>
        <w:t xml:space="preserve">s les </w:t>
      </w:r>
      <w:r w:rsidRPr="00F07170">
        <w:rPr>
          <w:lang w:val="fr-CA"/>
        </w:rPr>
        <w:t>environnement</w:t>
      </w:r>
      <w:r w:rsidR="007D14ED" w:rsidRPr="00F07170">
        <w:rPr>
          <w:lang w:val="fr-CA"/>
        </w:rPr>
        <w:t>s</w:t>
      </w:r>
      <w:r w:rsidRPr="00F07170">
        <w:rPr>
          <w:lang w:val="fr-CA"/>
        </w:rPr>
        <w:t xml:space="preserve"> professionnel</w:t>
      </w:r>
      <w:r w:rsidR="007D14ED" w:rsidRPr="00F07170">
        <w:rPr>
          <w:lang w:val="fr-CA"/>
        </w:rPr>
        <w:t>s</w:t>
      </w:r>
      <w:r w:rsidRPr="00F07170">
        <w:rPr>
          <w:lang w:val="fr-CA"/>
        </w:rPr>
        <w:t xml:space="preserve"> et à la vie quotidienne.</w:t>
      </w:r>
    </w:p>
    <w:p w14:paraId="193272D4" w14:textId="0D568A3D" w:rsidR="005B3B8B" w:rsidRPr="00F07170" w:rsidRDefault="00311B8B" w:rsidP="00F718DC">
      <w:pPr>
        <w:rPr>
          <w:lang w:val="fr-CA"/>
        </w:rPr>
      </w:pPr>
      <w:r w:rsidRPr="00F07170">
        <w:rPr>
          <w:lang w:val="fr-CA"/>
        </w:rPr>
        <w:t>Le</w:t>
      </w:r>
      <w:r w:rsidR="005B3B8B" w:rsidRPr="00F07170">
        <w:rPr>
          <w:lang w:val="fr-CA"/>
        </w:rPr>
        <w:t xml:space="preserve"> modèle</w:t>
      </w:r>
      <w:r w:rsidRPr="00F07170">
        <w:rPr>
          <w:lang w:val="fr-CA"/>
        </w:rPr>
        <w:t xml:space="preserve"> </w:t>
      </w:r>
      <w:hyperlink r:id="rId11" w:history="1">
        <w:r w:rsidR="00234CD4" w:rsidRPr="00F07170">
          <w:rPr>
            <w:rStyle w:val="Hyperlink"/>
            <w:i/>
            <w:lang w:val="fr-CA"/>
          </w:rPr>
          <w:t>Compétences pour réussir</w:t>
        </w:r>
      </w:hyperlink>
      <w:r w:rsidRPr="00F07170">
        <w:rPr>
          <w:lang w:val="fr-CA"/>
        </w:rPr>
        <w:t xml:space="preserve"> présente </w:t>
      </w:r>
      <w:r w:rsidR="005B3B8B" w:rsidRPr="00F07170">
        <w:rPr>
          <w:lang w:val="fr-CA"/>
        </w:rPr>
        <w:t>cinq compétences transférables</w:t>
      </w:r>
      <w:r w:rsidRPr="00F07170">
        <w:rPr>
          <w:lang w:val="fr-CA"/>
        </w:rPr>
        <w:t xml:space="preserve"> : </w:t>
      </w:r>
      <w:r w:rsidR="005B3B8B" w:rsidRPr="00F07170">
        <w:rPr>
          <w:lang w:val="fr-CA"/>
        </w:rPr>
        <w:t>l</w:t>
      </w:r>
      <w:r w:rsidR="001407B6" w:rsidRPr="00F07170">
        <w:rPr>
          <w:lang w:val="fr-CA"/>
        </w:rPr>
        <w:t>’</w:t>
      </w:r>
      <w:r w:rsidR="005B3B8B" w:rsidRPr="00F07170">
        <w:rPr>
          <w:lang w:val="fr-CA"/>
        </w:rPr>
        <w:t>adaptabilité, la collaboration, la communication, la créativité et l</w:t>
      </w:r>
      <w:r w:rsidR="001407B6" w:rsidRPr="00F07170">
        <w:rPr>
          <w:lang w:val="fr-CA"/>
        </w:rPr>
        <w:t>’</w:t>
      </w:r>
      <w:r w:rsidR="005B3B8B" w:rsidRPr="00F07170">
        <w:rPr>
          <w:lang w:val="fr-CA"/>
        </w:rPr>
        <w:t>innovation, et la résolution de problèmes.</w:t>
      </w:r>
    </w:p>
    <w:p w14:paraId="420116A1" w14:textId="3DD79D50" w:rsidR="00F6673D" w:rsidRPr="00F07170" w:rsidRDefault="00F6673D" w:rsidP="00F6673D">
      <w:pPr>
        <w:rPr>
          <w:lang w:val="fr-CA"/>
        </w:rPr>
      </w:pPr>
      <w:r w:rsidRPr="00F07170">
        <w:rPr>
          <w:lang w:val="fr-CA"/>
        </w:rPr>
        <w:t>L</w:t>
      </w:r>
      <w:r w:rsidR="001407B6" w:rsidRPr="00F07170">
        <w:rPr>
          <w:lang w:val="fr-CA"/>
        </w:rPr>
        <w:t>’</w:t>
      </w:r>
      <w:r w:rsidRPr="00F07170">
        <w:rPr>
          <w:lang w:val="fr-CA"/>
        </w:rPr>
        <w:t>adaptabilité</w:t>
      </w:r>
      <w:r w:rsidR="00311B8B" w:rsidRPr="00F07170">
        <w:rPr>
          <w:lang w:val="fr-CA"/>
        </w:rPr>
        <w:t xml:space="preserve"> : </w:t>
      </w:r>
      <w:r w:rsidR="00467490" w:rsidRPr="00F07170">
        <w:rPr>
          <w:lang w:val="fr-CA"/>
        </w:rPr>
        <w:t xml:space="preserve">capacité </w:t>
      </w:r>
      <w:r w:rsidR="00311B8B" w:rsidRPr="00F07170">
        <w:rPr>
          <w:lang w:val="fr-CA"/>
        </w:rPr>
        <w:t>de</w:t>
      </w:r>
      <w:r w:rsidR="00467490" w:rsidRPr="00F07170">
        <w:rPr>
          <w:lang w:val="fr-CA"/>
        </w:rPr>
        <w:t xml:space="preserve"> s</w:t>
      </w:r>
      <w:r w:rsidR="001407B6" w:rsidRPr="00F07170">
        <w:rPr>
          <w:lang w:val="fr-CA"/>
        </w:rPr>
        <w:t>’</w:t>
      </w:r>
      <w:r w:rsidR="00467490" w:rsidRPr="00F07170">
        <w:rPr>
          <w:lang w:val="fr-CA"/>
        </w:rPr>
        <w:t xml:space="preserve">adapter à de nouvelles situations et </w:t>
      </w:r>
      <w:r w:rsidR="00311B8B" w:rsidRPr="00F07170">
        <w:rPr>
          <w:lang w:val="fr-CA"/>
        </w:rPr>
        <w:t>de</w:t>
      </w:r>
      <w:r w:rsidR="00467490" w:rsidRPr="00F07170">
        <w:rPr>
          <w:lang w:val="fr-CA"/>
        </w:rPr>
        <w:t xml:space="preserve"> persévérer malgré les </w:t>
      </w:r>
      <w:r w:rsidR="00311B8B" w:rsidRPr="00F07170">
        <w:rPr>
          <w:lang w:val="fr-CA"/>
        </w:rPr>
        <w:t>difficultés</w:t>
      </w:r>
      <w:r w:rsidR="00467490" w:rsidRPr="00F07170">
        <w:rPr>
          <w:lang w:val="fr-CA"/>
        </w:rPr>
        <w:t xml:space="preserve">. </w:t>
      </w:r>
    </w:p>
    <w:p w14:paraId="67745A59" w14:textId="081F6606" w:rsidR="00F6673D" w:rsidRPr="00F07170" w:rsidRDefault="00F6673D" w:rsidP="00F6673D">
      <w:pPr>
        <w:rPr>
          <w:lang w:val="fr-CA"/>
        </w:rPr>
      </w:pPr>
      <w:r w:rsidRPr="00F07170">
        <w:rPr>
          <w:lang w:val="fr-CA"/>
        </w:rPr>
        <w:t>La collaboration</w:t>
      </w:r>
      <w:r w:rsidR="00311B8B" w:rsidRPr="00F07170">
        <w:rPr>
          <w:lang w:val="fr-CA"/>
        </w:rPr>
        <w:t> :</w:t>
      </w:r>
      <w:r w:rsidR="0069419F" w:rsidRPr="00F07170">
        <w:rPr>
          <w:lang w:val="fr-CA"/>
        </w:rPr>
        <w:t xml:space="preserve"> capacité </w:t>
      </w:r>
      <w:r w:rsidR="00311B8B" w:rsidRPr="00F07170">
        <w:rPr>
          <w:lang w:val="fr-CA"/>
        </w:rPr>
        <w:t>de</w:t>
      </w:r>
      <w:r w:rsidR="0069419F" w:rsidRPr="00F07170">
        <w:rPr>
          <w:lang w:val="fr-CA"/>
        </w:rPr>
        <w:t xml:space="preserve"> travailler avec d</w:t>
      </w:r>
      <w:r w:rsidR="001407B6" w:rsidRPr="00F07170">
        <w:rPr>
          <w:lang w:val="fr-CA"/>
        </w:rPr>
        <w:t>’</w:t>
      </w:r>
      <w:r w:rsidR="0069419F" w:rsidRPr="00F07170">
        <w:rPr>
          <w:lang w:val="fr-CA"/>
        </w:rPr>
        <w:t>autres personnes pour atteindre des objectifs communs.</w:t>
      </w:r>
    </w:p>
    <w:p w14:paraId="3E389D78" w14:textId="78A974BA" w:rsidR="00F6673D" w:rsidRPr="00F07170" w:rsidRDefault="00F6673D" w:rsidP="00F6673D">
      <w:pPr>
        <w:rPr>
          <w:lang w:val="fr-CA"/>
        </w:rPr>
      </w:pPr>
      <w:r w:rsidRPr="00F07170">
        <w:rPr>
          <w:lang w:val="fr-CA"/>
        </w:rPr>
        <w:t>La communication</w:t>
      </w:r>
      <w:r w:rsidR="00311B8B" w:rsidRPr="00F07170">
        <w:rPr>
          <w:lang w:val="fr-CA"/>
        </w:rPr>
        <w:t xml:space="preserve"> : </w:t>
      </w:r>
      <w:r w:rsidR="0069419F" w:rsidRPr="00F07170">
        <w:rPr>
          <w:lang w:val="fr-CA"/>
        </w:rPr>
        <w:t xml:space="preserve">capacité </w:t>
      </w:r>
      <w:r w:rsidR="00311B8B" w:rsidRPr="00F07170">
        <w:rPr>
          <w:lang w:val="fr-CA"/>
        </w:rPr>
        <w:t>de</w:t>
      </w:r>
      <w:r w:rsidR="0069419F" w:rsidRPr="00F07170">
        <w:rPr>
          <w:lang w:val="fr-CA"/>
        </w:rPr>
        <w:t xml:space="preserve"> recevoir et </w:t>
      </w:r>
      <w:r w:rsidR="00311B8B" w:rsidRPr="00F07170">
        <w:rPr>
          <w:lang w:val="fr-CA"/>
        </w:rPr>
        <w:t>de</w:t>
      </w:r>
      <w:r w:rsidR="0069419F" w:rsidRPr="00F07170">
        <w:rPr>
          <w:lang w:val="fr-CA"/>
        </w:rPr>
        <w:t xml:space="preserve"> partager clairement des informations avec d</w:t>
      </w:r>
      <w:r w:rsidR="001407B6" w:rsidRPr="00F07170">
        <w:rPr>
          <w:lang w:val="fr-CA"/>
        </w:rPr>
        <w:t>’</w:t>
      </w:r>
      <w:r w:rsidR="0069419F" w:rsidRPr="00F07170">
        <w:rPr>
          <w:lang w:val="fr-CA"/>
        </w:rPr>
        <w:t>autres personnes.</w:t>
      </w:r>
    </w:p>
    <w:p w14:paraId="0AB3CB2E" w14:textId="06CF0351" w:rsidR="00F6673D" w:rsidRPr="00F07170" w:rsidRDefault="0057106B" w:rsidP="00F6673D">
      <w:pPr>
        <w:rPr>
          <w:lang w:val="fr-CA"/>
        </w:rPr>
      </w:pPr>
      <w:r w:rsidRPr="00F07170">
        <w:rPr>
          <w:lang w:val="fr-CA"/>
        </w:rPr>
        <w:t xml:space="preserve">La </w:t>
      </w:r>
      <w:r w:rsidR="00F6673D" w:rsidRPr="00F07170">
        <w:rPr>
          <w:lang w:val="fr-CA"/>
        </w:rPr>
        <w:t>créativité et l</w:t>
      </w:r>
      <w:r w:rsidR="001407B6" w:rsidRPr="00F07170">
        <w:rPr>
          <w:lang w:val="fr-CA"/>
        </w:rPr>
        <w:t>’</w:t>
      </w:r>
      <w:r w:rsidR="00F6673D" w:rsidRPr="00F07170">
        <w:rPr>
          <w:lang w:val="fr-CA"/>
        </w:rPr>
        <w:t>innovation</w:t>
      </w:r>
      <w:r w:rsidR="00311B8B" w:rsidRPr="00F07170">
        <w:rPr>
          <w:lang w:val="fr-CA"/>
        </w:rPr>
        <w:t xml:space="preserve"> : </w:t>
      </w:r>
      <w:r w:rsidR="009A58D2" w:rsidRPr="00F07170">
        <w:rPr>
          <w:lang w:val="fr-CA"/>
        </w:rPr>
        <w:t xml:space="preserve">capacité </w:t>
      </w:r>
      <w:r w:rsidR="00311B8B" w:rsidRPr="00F07170">
        <w:rPr>
          <w:lang w:val="fr-CA"/>
        </w:rPr>
        <w:t>de</w:t>
      </w:r>
      <w:r w:rsidR="009A58D2" w:rsidRPr="00F07170">
        <w:rPr>
          <w:lang w:val="fr-CA"/>
        </w:rPr>
        <w:t xml:space="preserve"> créer et </w:t>
      </w:r>
      <w:r w:rsidR="00311B8B" w:rsidRPr="00F07170">
        <w:rPr>
          <w:lang w:val="fr-CA"/>
        </w:rPr>
        <w:t>de</w:t>
      </w:r>
      <w:r w:rsidR="009A58D2" w:rsidRPr="00F07170">
        <w:rPr>
          <w:lang w:val="fr-CA"/>
        </w:rPr>
        <w:t xml:space="preserve"> mettre en œuvre de nouvelles idées.</w:t>
      </w:r>
    </w:p>
    <w:p w14:paraId="2A146159" w14:textId="6BEC8396" w:rsidR="00F6673D" w:rsidRPr="00F07170" w:rsidRDefault="0057106B" w:rsidP="00F6673D">
      <w:pPr>
        <w:rPr>
          <w:lang w:val="fr-CA"/>
        </w:rPr>
      </w:pPr>
      <w:r w:rsidRPr="00F07170">
        <w:rPr>
          <w:lang w:val="fr-CA"/>
        </w:rPr>
        <w:t xml:space="preserve">La </w:t>
      </w:r>
      <w:r w:rsidR="00F6673D" w:rsidRPr="00F07170">
        <w:rPr>
          <w:lang w:val="fr-CA"/>
        </w:rPr>
        <w:t>résolution de problèmes</w:t>
      </w:r>
      <w:r w:rsidR="00311B8B" w:rsidRPr="00F07170">
        <w:rPr>
          <w:lang w:val="fr-CA"/>
        </w:rPr>
        <w:t xml:space="preserve"> : </w:t>
      </w:r>
      <w:r w:rsidR="00437AD7" w:rsidRPr="00F07170">
        <w:rPr>
          <w:lang w:val="fr-CA"/>
        </w:rPr>
        <w:t xml:space="preserve">capacité </w:t>
      </w:r>
      <w:r w:rsidR="00311B8B" w:rsidRPr="00F07170">
        <w:rPr>
          <w:lang w:val="fr-CA"/>
        </w:rPr>
        <w:t>d’</w:t>
      </w:r>
      <w:r w:rsidR="00DE4057" w:rsidRPr="00F07170">
        <w:rPr>
          <w:lang w:val="fr-CA"/>
        </w:rPr>
        <w:t xml:space="preserve">identifier les problèmes et </w:t>
      </w:r>
      <w:r w:rsidR="00311B8B" w:rsidRPr="00F07170">
        <w:rPr>
          <w:lang w:val="fr-CA"/>
        </w:rPr>
        <w:t>de</w:t>
      </w:r>
      <w:r w:rsidR="00DE4057" w:rsidRPr="00F07170">
        <w:rPr>
          <w:lang w:val="fr-CA"/>
        </w:rPr>
        <w:t xml:space="preserve"> trouver des solutions efficaces.</w:t>
      </w:r>
    </w:p>
    <w:p w14:paraId="69D6BB29" w14:textId="77777777" w:rsidR="00DE4057" w:rsidRPr="00F07170" w:rsidRDefault="00DE4057" w:rsidP="00F6673D">
      <w:pPr>
        <w:rPr>
          <w:lang w:val="fr-CA"/>
        </w:rPr>
      </w:pPr>
    </w:p>
    <w:p w14:paraId="1FA7A71C" w14:textId="39F6E530" w:rsidR="008B14AA" w:rsidRPr="00F07170" w:rsidRDefault="00EC6B23">
      <w:pPr>
        <w:rPr>
          <w:lang w:val="fr-CA"/>
        </w:rPr>
      </w:pPr>
      <w:r w:rsidRPr="00F07170">
        <w:rPr>
          <w:lang w:val="fr-CA"/>
        </w:rPr>
        <w:t>C</w:t>
      </w:r>
      <w:r w:rsidR="00311B8B" w:rsidRPr="00F07170">
        <w:rPr>
          <w:lang w:val="fr-CA"/>
        </w:rPr>
        <w:t>hacun de ces</w:t>
      </w:r>
      <w:r w:rsidRPr="00F07170">
        <w:rPr>
          <w:lang w:val="fr-CA"/>
        </w:rPr>
        <w:t xml:space="preserve"> domaines </w:t>
      </w:r>
      <w:r w:rsidR="00311B8B" w:rsidRPr="00F07170">
        <w:rPr>
          <w:lang w:val="fr-CA"/>
        </w:rPr>
        <w:t xml:space="preserve">représente un </w:t>
      </w:r>
      <w:r w:rsidRPr="00F07170">
        <w:rPr>
          <w:lang w:val="fr-CA"/>
        </w:rPr>
        <w:t xml:space="preserve">ensemble de compétences uniques qui </w:t>
      </w:r>
      <w:r w:rsidR="00311B8B" w:rsidRPr="00F07170">
        <w:rPr>
          <w:lang w:val="fr-CA"/>
        </w:rPr>
        <w:t xml:space="preserve">font intervenir de nombreuses </w:t>
      </w:r>
      <w:r w:rsidRPr="00F07170">
        <w:rPr>
          <w:lang w:val="fr-CA"/>
        </w:rPr>
        <w:t xml:space="preserve">capacités cognitives, sociales et émotionnelles. </w:t>
      </w:r>
      <w:r w:rsidR="00311B8B" w:rsidRPr="00F07170">
        <w:rPr>
          <w:lang w:val="fr-CA"/>
        </w:rPr>
        <w:t>Elles</w:t>
      </w:r>
      <w:r w:rsidRPr="00F07170">
        <w:rPr>
          <w:lang w:val="fr-CA"/>
        </w:rPr>
        <w:t xml:space="preserve"> interagissent et s</w:t>
      </w:r>
      <w:r w:rsidR="001407B6" w:rsidRPr="00F07170">
        <w:rPr>
          <w:lang w:val="fr-CA"/>
        </w:rPr>
        <w:t>’</w:t>
      </w:r>
      <w:r w:rsidRPr="00F07170">
        <w:rPr>
          <w:lang w:val="fr-CA"/>
        </w:rPr>
        <w:t>appuient les un</w:t>
      </w:r>
      <w:r w:rsidR="00311B8B" w:rsidRPr="00F07170">
        <w:rPr>
          <w:lang w:val="fr-CA"/>
        </w:rPr>
        <w:t>e</w:t>
      </w:r>
      <w:r w:rsidRPr="00F07170">
        <w:rPr>
          <w:lang w:val="fr-CA"/>
        </w:rPr>
        <w:t>s sur les autres pour favoriser la réussite tout au long d</w:t>
      </w:r>
      <w:r w:rsidR="00311B8B" w:rsidRPr="00F07170">
        <w:rPr>
          <w:lang w:val="fr-CA"/>
        </w:rPr>
        <w:t>’une carrière</w:t>
      </w:r>
      <w:r w:rsidRPr="00F07170">
        <w:rPr>
          <w:lang w:val="fr-CA"/>
        </w:rPr>
        <w:t>.</w:t>
      </w:r>
    </w:p>
    <w:p w14:paraId="259CC75D" w14:textId="3ABF0091" w:rsidR="008501D5" w:rsidRPr="00F07170" w:rsidRDefault="008501D5">
      <w:pPr>
        <w:rPr>
          <w:lang w:val="fr-CA"/>
        </w:rPr>
      </w:pPr>
      <w:r w:rsidRPr="00F07170">
        <w:rPr>
          <w:lang w:val="fr-CA"/>
        </w:rPr>
        <w:br w:type="page"/>
      </w:r>
    </w:p>
    <w:p w14:paraId="782CC226" w14:textId="70135528" w:rsidR="00A451BC" w:rsidRPr="00F07170" w:rsidRDefault="00311B8B" w:rsidP="002B28DD">
      <w:pPr>
        <w:pStyle w:val="Heading2"/>
        <w:rPr>
          <w:lang w:val="fr-CA"/>
        </w:rPr>
      </w:pPr>
      <w:bookmarkStart w:id="3" w:name="_Toc191281429"/>
      <w:r w:rsidRPr="00F07170">
        <w:rPr>
          <w:lang w:val="fr-CA"/>
        </w:rPr>
        <w:lastRenderedPageBreak/>
        <w:t>L’importance des</w:t>
      </w:r>
      <w:r w:rsidR="009009DA" w:rsidRPr="00F07170">
        <w:rPr>
          <w:lang w:val="fr-CA"/>
        </w:rPr>
        <w:t xml:space="preserve"> compétences transférables</w:t>
      </w:r>
      <w:bookmarkEnd w:id="3"/>
    </w:p>
    <w:p w14:paraId="15C72E6B" w14:textId="58D14FCF" w:rsidR="001448DC" w:rsidRPr="00F07170" w:rsidRDefault="00311B8B" w:rsidP="001448DC">
      <w:pPr>
        <w:rPr>
          <w:lang w:val="fr-CA"/>
        </w:rPr>
      </w:pPr>
      <w:r w:rsidRPr="00F07170">
        <w:rPr>
          <w:lang w:val="fr-CA"/>
        </w:rPr>
        <w:t>Le</w:t>
      </w:r>
      <w:r w:rsidR="00C84B2E" w:rsidRPr="00F07170">
        <w:rPr>
          <w:lang w:val="fr-CA"/>
        </w:rPr>
        <w:t xml:space="preserve"> marché du travail </w:t>
      </w:r>
      <w:r w:rsidRPr="00F07170">
        <w:rPr>
          <w:lang w:val="fr-CA"/>
        </w:rPr>
        <w:t xml:space="preserve">est </w:t>
      </w:r>
      <w:r w:rsidR="00C84B2E" w:rsidRPr="00F07170">
        <w:rPr>
          <w:lang w:val="fr-CA"/>
        </w:rPr>
        <w:t>dynamique et en constante évolution</w:t>
      </w:r>
      <w:r w:rsidRPr="00F07170">
        <w:rPr>
          <w:lang w:val="fr-CA"/>
        </w:rPr>
        <w:t>. L</w:t>
      </w:r>
      <w:r w:rsidR="00C84B2E" w:rsidRPr="00F07170">
        <w:rPr>
          <w:lang w:val="fr-CA"/>
        </w:rPr>
        <w:t xml:space="preserve">es employeurs recherchent de plus en plus des travailleurs </w:t>
      </w:r>
      <w:r w:rsidRPr="00F07170">
        <w:rPr>
          <w:lang w:val="fr-CA"/>
        </w:rPr>
        <w:t>qui ont</w:t>
      </w:r>
      <w:r w:rsidR="00C84B2E" w:rsidRPr="00F07170">
        <w:rPr>
          <w:lang w:val="fr-CA"/>
        </w:rPr>
        <w:t xml:space="preserve"> de solides compétences transférables.</w:t>
      </w:r>
      <w:bookmarkStart w:id="4" w:name="_Ref189736444"/>
      <w:r w:rsidR="00C84B2E" w:rsidRPr="00F07170">
        <w:rPr>
          <w:rStyle w:val="EndnoteReference"/>
        </w:rPr>
        <w:endnoteReference w:id="2"/>
      </w:r>
      <w:bookmarkEnd w:id="4"/>
    </w:p>
    <w:p w14:paraId="770B1BEF" w14:textId="2C33FA54" w:rsidR="00AC5375" w:rsidRPr="00F07170" w:rsidRDefault="00311B8B" w:rsidP="001448DC">
      <w:pPr>
        <w:rPr>
          <w:lang w:val="fr-CA"/>
        </w:rPr>
      </w:pPr>
      <w:r w:rsidRPr="00F07170">
        <w:rPr>
          <w:lang w:val="fr-CA"/>
        </w:rPr>
        <w:t>L</w:t>
      </w:r>
      <w:r w:rsidR="00AC5375" w:rsidRPr="00F07170">
        <w:rPr>
          <w:lang w:val="fr-CA"/>
        </w:rPr>
        <w:t>es offres d</w:t>
      </w:r>
      <w:r w:rsidR="001407B6" w:rsidRPr="00F07170">
        <w:rPr>
          <w:lang w:val="fr-CA"/>
        </w:rPr>
        <w:t>’</w:t>
      </w:r>
      <w:r w:rsidR="00AC5375" w:rsidRPr="00F07170">
        <w:rPr>
          <w:lang w:val="fr-CA"/>
        </w:rPr>
        <w:t xml:space="preserve">emploi, même pour des postes </w:t>
      </w:r>
      <w:r w:rsidR="00633BF0" w:rsidRPr="00F07170">
        <w:rPr>
          <w:lang w:val="fr-CA"/>
        </w:rPr>
        <w:t>très</w:t>
      </w:r>
      <w:r w:rsidR="00AC5375" w:rsidRPr="00F07170">
        <w:rPr>
          <w:lang w:val="fr-CA"/>
        </w:rPr>
        <w:t xml:space="preserve"> techniques</w:t>
      </w:r>
      <w:r w:rsidR="00633BF0" w:rsidRPr="00F07170">
        <w:rPr>
          <w:lang w:val="fr-CA"/>
        </w:rPr>
        <w:t>, demandent couramment des qualités telles qu’une bonne communication, le travail d’équipe et des compétences organisationnelles</w:t>
      </w:r>
      <w:r w:rsidR="00AC5375" w:rsidRPr="00F07170">
        <w:rPr>
          <w:lang w:val="fr-CA"/>
        </w:rPr>
        <w:t>.</w:t>
      </w:r>
      <w:r w:rsidR="00AC5375" w:rsidRPr="00F07170">
        <w:fldChar w:fldCharType="begin"/>
      </w:r>
      <w:r w:rsidR="00AC5375" w:rsidRPr="00F07170">
        <w:rPr>
          <w:lang w:val="fr-CA"/>
        </w:rPr>
        <w:instrText xml:space="preserve"> NOTEREF _Ref189736444 \f \h </w:instrText>
      </w:r>
      <w:r w:rsidR="00F07170" w:rsidRPr="00F07170">
        <w:rPr>
          <w:lang w:val="fr-CA"/>
        </w:rPr>
        <w:instrText xml:space="preserve"> \* MERGEFORMAT </w:instrText>
      </w:r>
      <w:r w:rsidR="00AC5375" w:rsidRPr="00F07170">
        <w:fldChar w:fldCharType="separate"/>
      </w:r>
      <w:r w:rsidR="00AC5375" w:rsidRPr="00F07170">
        <w:rPr>
          <w:rStyle w:val="EndnoteReference"/>
          <w:lang w:val="fr-CA"/>
        </w:rPr>
        <w:t>1</w:t>
      </w:r>
      <w:r w:rsidR="00AC5375" w:rsidRPr="00F07170">
        <w:fldChar w:fldCharType="end"/>
      </w:r>
      <w:r w:rsidR="00AC5375" w:rsidRPr="00F07170">
        <w:rPr>
          <w:lang w:val="fr-CA"/>
        </w:rPr>
        <w:t xml:space="preserve"> Les employeurs avec lesquels nous </w:t>
      </w:r>
      <w:r w:rsidR="00633BF0" w:rsidRPr="00F07170">
        <w:rPr>
          <w:lang w:val="fr-CA"/>
        </w:rPr>
        <w:t>avons eu des entretiens</w:t>
      </w:r>
      <w:r w:rsidR="00AC5375" w:rsidRPr="00F07170">
        <w:rPr>
          <w:lang w:val="fr-CA"/>
        </w:rPr>
        <w:t xml:space="preserve"> dans le cadre du projet </w:t>
      </w:r>
      <w:r w:rsidR="00633BF0" w:rsidRPr="00F07170">
        <w:rPr>
          <w:lang w:val="fr-CA"/>
        </w:rPr>
        <w:t>de recherche « STEAM »</w:t>
      </w:r>
      <w:r w:rsidR="00AC5375" w:rsidRPr="00F07170">
        <w:rPr>
          <w:lang w:val="fr-CA"/>
        </w:rPr>
        <w:t xml:space="preserve"> évaluent souvent les travailleurs en fonction de leurs compétences transférables lors des entre</w:t>
      </w:r>
      <w:r w:rsidR="00633BF0" w:rsidRPr="00F07170">
        <w:rPr>
          <w:lang w:val="fr-CA"/>
        </w:rPr>
        <w:t>vues</w:t>
      </w:r>
      <w:r w:rsidR="00AC5375" w:rsidRPr="00F07170">
        <w:rPr>
          <w:lang w:val="fr-CA"/>
        </w:rPr>
        <w:t xml:space="preserve"> et de la gestion d</w:t>
      </w:r>
      <w:r w:rsidR="00633BF0" w:rsidRPr="00F07170">
        <w:rPr>
          <w:lang w:val="fr-CA"/>
        </w:rPr>
        <w:t>u rendement</w:t>
      </w:r>
      <w:r w:rsidR="00AC5375" w:rsidRPr="00F07170">
        <w:rPr>
          <w:lang w:val="fr-CA"/>
        </w:rPr>
        <w:t>.</w:t>
      </w:r>
    </w:p>
    <w:p w14:paraId="0EF94040" w14:textId="78E6BD8B" w:rsidR="00AC5375" w:rsidRPr="00F07170" w:rsidRDefault="00633BF0" w:rsidP="00AC5375">
      <w:pPr>
        <w:rPr>
          <w:lang w:val="fr-CA"/>
        </w:rPr>
      </w:pPr>
      <w:r w:rsidRPr="00F07170">
        <w:rPr>
          <w:lang w:val="fr-CA"/>
        </w:rPr>
        <w:t xml:space="preserve">Le projet de recherche « STEAM » a utilisé divers outils auprès de groupes ciblés pour recueillir des renseignements, notamment </w:t>
      </w:r>
      <w:r w:rsidR="00AC5375" w:rsidRPr="00F07170">
        <w:rPr>
          <w:lang w:val="fr-CA"/>
        </w:rPr>
        <w:t>d</w:t>
      </w:r>
      <w:r w:rsidRPr="00F07170">
        <w:rPr>
          <w:lang w:val="fr-CA"/>
        </w:rPr>
        <w:t>es sondages</w:t>
      </w:r>
      <w:r w:rsidR="00AC5375" w:rsidRPr="00F07170">
        <w:rPr>
          <w:lang w:val="fr-CA"/>
        </w:rPr>
        <w:t xml:space="preserve"> et d</w:t>
      </w:r>
      <w:r w:rsidRPr="00F07170">
        <w:rPr>
          <w:lang w:val="fr-CA"/>
        </w:rPr>
        <w:t xml:space="preserve">es </w:t>
      </w:r>
      <w:r w:rsidR="00AC5375" w:rsidRPr="00F07170">
        <w:rPr>
          <w:lang w:val="fr-CA"/>
        </w:rPr>
        <w:t xml:space="preserve">évaluations </w:t>
      </w:r>
      <w:r w:rsidRPr="00F07170">
        <w:rPr>
          <w:lang w:val="fr-CA"/>
        </w:rPr>
        <w:t xml:space="preserve">d’apprentissage en ligne auprès </w:t>
      </w:r>
      <w:r w:rsidR="00AC5375" w:rsidRPr="00F07170">
        <w:rPr>
          <w:lang w:val="fr-CA"/>
        </w:rPr>
        <w:t>de 88</w:t>
      </w:r>
      <w:r w:rsidRPr="00F07170">
        <w:rPr>
          <w:lang w:val="fr-CA"/>
        </w:rPr>
        <w:t> </w:t>
      </w:r>
      <w:r w:rsidR="00AC5375" w:rsidRPr="00F07170">
        <w:rPr>
          <w:lang w:val="fr-CA"/>
        </w:rPr>
        <w:t>clients demandeurs d</w:t>
      </w:r>
      <w:r w:rsidR="001407B6" w:rsidRPr="00F07170">
        <w:rPr>
          <w:lang w:val="fr-CA"/>
        </w:rPr>
        <w:t>’</w:t>
      </w:r>
      <w:r w:rsidR="00AC5375" w:rsidRPr="00F07170">
        <w:rPr>
          <w:lang w:val="fr-CA"/>
        </w:rPr>
        <w:t>emploi, de</w:t>
      </w:r>
      <w:r w:rsidRPr="00F07170">
        <w:rPr>
          <w:lang w:val="fr-CA"/>
        </w:rPr>
        <w:t>s</w:t>
      </w:r>
      <w:r w:rsidR="00AC5375" w:rsidRPr="00F07170">
        <w:rPr>
          <w:lang w:val="fr-CA"/>
        </w:rPr>
        <w:t xml:space="preserve"> groupes de discussion semi-structurés et d</w:t>
      </w:r>
      <w:r w:rsidRPr="00F07170">
        <w:rPr>
          <w:lang w:val="fr-CA"/>
        </w:rPr>
        <w:t xml:space="preserve">es </w:t>
      </w:r>
      <w:r w:rsidR="00AC5375" w:rsidRPr="00F07170">
        <w:rPr>
          <w:lang w:val="fr-CA"/>
        </w:rPr>
        <w:t>entretiens avec 16</w:t>
      </w:r>
      <w:r w:rsidRPr="00F07170">
        <w:rPr>
          <w:lang w:val="fr-CA"/>
        </w:rPr>
        <w:t> </w:t>
      </w:r>
      <w:r w:rsidR="00AC5375" w:rsidRPr="00F07170">
        <w:rPr>
          <w:lang w:val="fr-CA"/>
        </w:rPr>
        <w:t xml:space="preserve">employeurs, 18 </w:t>
      </w:r>
      <w:r w:rsidRPr="00F07170">
        <w:rPr>
          <w:lang w:val="fr-CA"/>
        </w:rPr>
        <w:t>fournisseurs</w:t>
      </w:r>
      <w:r w:rsidR="00AC5375" w:rsidRPr="00F07170">
        <w:rPr>
          <w:lang w:val="fr-CA"/>
        </w:rPr>
        <w:t xml:space="preserve"> de services d</w:t>
      </w:r>
      <w:r w:rsidR="00B108A1" w:rsidRPr="00F07170">
        <w:rPr>
          <w:lang w:val="fr-CA"/>
        </w:rPr>
        <w:t>e soutien à l</w:t>
      </w:r>
      <w:r w:rsidR="001407B6" w:rsidRPr="00F07170">
        <w:rPr>
          <w:lang w:val="fr-CA"/>
        </w:rPr>
        <w:t>’</w:t>
      </w:r>
      <w:r w:rsidR="00AC5375" w:rsidRPr="00F07170">
        <w:rPr>
          <w:lang w:val="fr-CA"/>
        </w:rPr>
        <w:t>emploi et 26 demandeurs d</w:t>
      </w:r>
      <w:r w:rsidR="001407B6" w:rsidRPr="00F07170">
        <w:rPr>
          <w:lang w:val="fr-CA"/>
        </w:rPr>
        <w:t>’</w:t>
      </w:r>
      <w:r w:rsidR="00AC5375" w:rsidRPr="00F07170">
        <w:rPr>
          <w:lang w:val="fr-CA"/>
        </w:rPr>
        <w:t>emploi</w:t>
      </w:r>
      <w:r w:rsidRPr="00F07170">
        <w:rPr>
          <w:lang w:val="fr-CA"/>
        </w:rPr>
        <w:t xml:space="preserve">. </w:t>
      </w:r>
      <w:r w:rsidR="00AC5375" w:rsidRPr="00F07170">
        <w:rPr>
          <w:lang w:val="fr-CA"/>
        </w:rPr>
        <w:t xml:space="preserve">STEAM </w:t>
      </w:r>
      <w:r w:rsidRPr="00F07170">
        <w:rPr>
          <w:lang w:val="fr-CA"/>
        </w:rPr>
        <w:t xml:space="preserve">cherchait </w:t>
      </w:r>
      <w:r w:rsidR="003D41C4" w:rsidRPr="00F07170">
        <w:rPr>
          <w:lang w:val="fr-CA"/>
        </w:rPr>
        <w:t xml:space="preserve">à répondre aux questions suivantes </w:t>
      </w:r>
      <w:r w:rsidR="00AC5375" w:rsidRPr="00F07170">
        <w:rPr>
          <w:lang w:val="fr-CA"/>
        </w:rPr>
        <w:t>:</w:t>
      </w:r>
    </w:p>
    <w:p w14:paraId="48C900E1" w14:textId="37151BA7" w:rsidR="00AC5375" w:rsidRPr="00F07170" w:rsidRDefault="00AC5375" w:rsidP="00AC5375">
      <w:pPr>
        <w:pStyle w:val="ListParagraph"/>
        <w:numPr>
          <w:ilvl w:val="0"/>
          <w:numId w:val="11"/>
        </w:numPr>
        <w:rPr>
          <w:lang w:val="fr-CA"/>
        </w:rPr>
      </w:pPr>
      <w:r w:rsidRPr="00F07170">
        <w:rPr>
          <w:lang w:val="fr-CA"/>
        </w:rPr>
        <w:t>Quelles sont les compétences transférables les plus précieuses sur le marché du travail (et pourquoi)?</w:t>
      </w:r>
    </w:p>
    <w:p w14:paraId="62338763" w14:textId="54E449AF" w:rsidR="00AC5375" w:rsidRPr="00F07170" w:rsidRDefault="00AC5375" w:rsidP="00AC5375">
      <w:pPr>
        <w:pStyle w:val="ListParagraph"/>
        <w:numPr>
          <w:ilvl w:val="0"/>
          <w:numId w:val="11"/>
        </w:numPr>
        <w:rPr>
          <w:lang w:val="fr-CA"/>
        </w:rPr>
      </w:pPr>
      <w:r w:rsidRPr="00F07170">
        <w:rPr>
          <w:lang w:val="fr-CA"/>
        </w:rPr>
        <w:t>Quels sont les points forts et les domaines dans lesquels les demandeurs d</w:t>
      </w:r>
      <w:r w:rsidR="001407B6" w:rsidRPr="00F07170">
        <w:rPr>
          <w:lang w:val="fr-CA"/>
        </w:rPr>
        <w:t>’</w:t>
      </w:r>
      <w:r w:rsidRPr="00F07170">
        <w:rPr>
          <w:lang w:val="fr-CA"/>
        </w:rPr>
        <w:t xml:space="preserve">emploi </w:t>
      </w:r>
      <w:r w:rsidR="003D41C4" w:rsidRPr="00F07170">
        <w:rPr>
          <w:lang w:val="fr-CA"/>
        </w:rPr>
        <w:t xml:space="preserve">en situation de </w:t>
      </w:r>
      <w:r w:rsidRPr="00F07170">
        <w:rPr>
          <w:lang w:val="fr-CA"/>
        </w:rPr>
        <w:t>handicap peuvent acquérir et utiliser ces compétences?</w:t>
      </w:r>
    </w:p>
    <w:p w14:paraId="6FDC63E5" w14:textId="4529CF98" w:rsidR="00AC5375" w:rsidRPr="00F07170" w:rsidRDefault="00AC5375" w:rsidP="00AC5375">
      <w:pPr>
        <w:pStyle w:val="ListParagraph"/>
        <w:numPr>
          <w:ilvl w:val="0"/>
          <w:numId w:val="11"/>
        </w:numPr>
        <w:rPr>
          <w:lang w:val="fr-CA"/>
        </w:rPr>
      </w:pPr>
      <w:r w:rsidRPr="00F07170">
        <w:rPr>
          <w:lang w:val="fr-CA"/>
        </w:rPr>
        <w:t>Comment l</w:t>
      </w:r>
      <w:r w:rsidR="001407B6" w:rsidRPr="00F07170">
        <w:rPr>
          <w:lang w:val="fr-CA"/>
        </w:rPr>
        <w:t>’</w:t>
      </w:r>
      <w:r w:rsidRPr="00F07170">
        <w:rPr>
          <w:lang w:val="fr-CA"/>
        </w:rPr>
        <w:t>acquisition de compétences transférables permet</w:t>
      </w:r>
      <w:r w:rsidR="003D41C4" w:rsidRPr="00F07170">
        <w:rPr>
          <w:lang w:val="fr-CA"/>
        </w:rPr>
        <w:t>-elle de franchir l</w:t>
      </w:r>
      <w:r w:rsidRPr="00F07170">
        <w:rPr>
          <w:lang w:val="fr-CA"/>
        </w:rPr>
        <w:t xml:space="preserve">es étapes </w:t>
      </w:r>
      <w:r w:rsidR="003D41C4" w:rsidRPr="00F07170">
        <w:rPr>
          <w:lang w:val="fr-CA"/>
        </w:rPr>
        <w:t xml:space="preserve">pour accéder </w:t>
      </w:r>
      <w:r w:rsidRPr="00F07170">
        <w:rPr>
          <w:lang w:val="fr-CA"/>
        </w:rPr>
        <w:t xml:space="preserve">à </w:t>
      </w:r>
      <w:r w:rsidR="003D41C4" w:rsidRPr="00F07170">
        <w:rPr>
          <w:lang w:val="fr-CA"/>
        </w:rPr>
        <w:t xml:space="preserve">un </w:t>
      </w:r>
      <w:r w:rsidRPr="00F07170">
        <w:rPr>
          <w:lang w:val="fr-CA"/>
        </w:rPr>
        <w:t>emploi et de réussir</w:t>
      </w:r>
      <w:r w:rsidR="003D41C4" w:rsidRPr="00F07170">
        <w:rPr>
          <w:lang w:val="fr-CA"/>
        </w:rPr>
        <w:t xml:space="preserve"> dans</w:t>
      </w:r>
      <w:r w:rsidRPr="00F07170">
        <w:rPr>
          <w:lang w:val="fr-CA"/>
        </w:rPr>
        <w:t xml:space="preserve"> le </w:t>
      </w:r>
      <w:r w:rsidR="003D41C4" w:rsidRPr="00F07170">
        <w:rPr>
          <w:lang w:val="fr-CA"/>
        </w:rPr>
        <w:t>mi</w:t>
      </w:r>
      <w:r w:rsidRPr="00F07170">
        <w:rPr>
          <w:lang w:val="fr-CA"/>
        </w:rPr>
        <w:t>lieu de travail</w:t>
      </w:r>
      <w:r w:rsidR="003D41C4" w:rsidRPr="00F07170">
        <w:rPr>
          <w:lang w:val="fr-CA"/>
        </w:rPr>
        <w:t> »</w:t>
      </w:r>
      <w:r w:rsidR="007D558D" w:rsidRPr="00F07170">
        <w:rPr>
          <w:lang w:val="fr-CA"/>
        </w:rPr>
        <w:t>?</w:t>
      </w:r>
    </w:p>
    <w:p w14:paraId="4CCCB794" w14:textId="5ED4D809" w:rsidR="008B14AA" w:rsidRPr="00F07170" w:rsidRDefault="00F1385A">
      <w:pPr>
        <w:rPr>
          <w:lang w:val="fr-CA"/>
        </w:rPr>
      </w:pPr>
      <w:r w:rsidRPr="00F07170">
        <w:rPr>
          <w:lang w:val="fr-CA"/>
        </w:rPr>
        <w:t xml:space="preserve">Les données </w:t>
      </w:r>
      <w:r w:rsidR="007D558D" w:rsidRPr="00F07170">
        <w:rPr>
          <w:lang w:val="fr-CA"/>
        </w:rPr>
        <w:t xml:space="preserve">indiquent que </w:t>
      </w:r>
      <w:r w:rsidRPr="00F07170">
        <w:rPr>
          <w:lang w:val="fr-CA"/>
        </w:rPr>
        <w:t xml:space="preserve">les employeurs, les </w:t>
      </w:r>
      <w:r w:rsidR="007D558D" w:rsidRPr="00F07170">
        <w:rPr>
          <w:lang w:val="fr-CA"/>
        </w:rPr>
        <w:t>fournisseurs</w:t>
      </w:r>
      <w:r w:rsidRPr="00F07170">
        <w:rPr>
          <w:lang w:val="fr-CA"/>
        </w:rPr>
        <w:t xml:space="preserve"> de services et les demandeurs d</w:t>
      </w:r>
      <w:r w:rsidR="001407B6" w:rsidRPr="00F07170">
        <w:rPr>
          <w:lang w:val="fr-CA"/>
        </w:rPr>
        <w:t>’</w:t>
      </w:r>
      <w:r w:rsidRPr="00F07170">
        <w:rPr>
          <w:lang w:val="fr-CA"/>
        </w:rPr>
        <w:t xml:space="preserve">emploi </w:t>
      </w:r>
      <w:r w:rsidR="007D558D" w:rsidRPr="00F07170">
        <w:rPr>
          <w:lang w:val="fr-CA"/>
        </w:rPr>
        <w:t>valorisent c</w:t>
      </w:r>
      <w:r w:rsidRPr="00F07170">
        <w:rPr>
          <w:lang w:val="fr-CA"/>
        </w:rPr>
        <w:t>es cinq compétences transférables dans une certaine mesure</w:t>
      </w:r>
      <w:r w:rsidR="007D558D" w:rsidRPr="00F07170">
        <w:rPr>
          <w:lang w:val="fr-CA"/>
        </w:rPr>
        <w:t xml:space="preserve">. Plus précisément, </w:t>
      </w:r>
      <w:r w:rsidRPr="00F07170">
        <w:rPr>
          <w:lang w:val="fr-CA"/>
        </w:rPr>
        <w:t>elles aidaient les demandeurs d</w:t>
      </w:r>
      <w:r w:rsidR="001407B6" w:rsidRPr="00F07170">
        <w:rPr>
          <w:lang w:val="fr-CA"/>
        </w:rPr>
        <w:t>’</w:t>
      </w:r>
      <w:r w:rsidRPr="00F07170">
        <w:rPr>
          <w:lang w:val="fr-CA"/>
        </w:rPr>
        <w:t>emploi à naviguer le processus de recherche d</w:t>
      </w:r>
      <w:r w:rsidR="001407B6" w:rsidRPr="00F07170">
        <w:rPr>
          <w:lang w:val="fr-CA"/>
        </w:rPr>
        <w:t>’</w:t>
      </w:r>
      <w:r w:rsidRPr="00F07170">
        <w:rPr>
          <w:lang w:val="fr-CA"/>
        </w:rPr>
        <w:t>emploi, à s</w:t>
      </w:r>
      <w:r w:rsidR="001407B6" w:rsidRPr="00F07170">
        <w:rPr>
          <w:lang w:val="fr-CA"/>
        </w:rPr>
        <w:t>’</w:t>
      </w:r>
      <w:r w:rsidRPr="00F07170">
        <w:rPr>
          <w:lang w:val="fr-CA"/>
        </w:rPr>
        <w:t xml:space="preserve">adapter à un </w:t>
      </w:r>
      <w:r w:rsidR="007D558D" w:rsidRPr="00F07170">
        <w:rPr>
          <w:lang w:val="fr-CA"/>
        </w:rPr>
        <w:t>mi</w:t>
      </w:r>
      <w:r w:rsidRPr="00F07170">
        <w:rPr>
          <w:lang w:val="fr-CA"/>
        </w:rPr>
        <w:t xml:space="preserve">lieu de travail et à </w:t>
      </w:r>
      <w:proofErr w:type="gramStart"/>
      <w:r w:rsidRPr="00F07170">
        <w:rPr>
          <w:lang w:val="fr-CA"/>
        </w:rPr>
        <w:t>faire</w:t>
      </w:r>
      <w:proofErr w:type="gramEnd"/>
      <w:r w:rsidRPr="00F07170">
        <w:rPr>
          <w:lang w:val="fr-CA"/>
        </w:rPr>
        <w:t xml:space="preserve"> leur travail de manière efficace.</w:t>
      </w:r>
    </w:p>
    <w:p w14:paraId="10DFF3F7" w14:textId="2F43BDF8" w:rsidR="00F1385A" w:rsidRPr="00F07170" w:rsidRDefault="007D558D">
      <w:pPr>
        <w:rPr>
          <w:lang w:val="fr-CA"/>
        </w:rPr>
      </w:pPr>
      <w:r w:rsidRPr="00F07170">
        <w:rPr>
          <w:lang w:val="fr-CA"/>
        </w:rPr>
        <w:t>S</w:t>
      </w:r>
      <w:r w:rsidR="00F1385A" w:rsidRPr="00F07170">
        <w:rPr>
          <w:lang w:val="fr-CA"/>
        </w:rPr>
        <w:t>ur une échelle de 1 (très peu important) à 5 (très important)</w:t>
      </w:r>
      <w:r w:rsidRPr="00F07170">
        <w:rPr>
          <w:lang w:val="fr-CA"/>
        </w:rPr>
        <w:t xml:space="preserve">, les demandeurs d’emploi ont </w:t>
      </w:r>
      <w:r w:rsidR="00BC5DFF" w:rsidRPr="00F07170">
        <w:rPr>
          <w:lang w:val="fr-CA"/>
        </w:rPr>
        <w:t>estimé</w:t>
      </w:r>
      <w:r w:rsidRPr="00F07170">
        <w:rPr>
          <w:lang w:val="fr-CA"/>
        </w:rPr>
        <w:t xml:space="preserve"> la valeur que les employeurs accordent aux cinq compétences</w:t>
      </w:r>
      <w:r w:rsidR="00F1385A" w:rsidRPr="00F07170">
        <w:rPr>
          <w:lang w:val="fr-CA"/>
        </w:rPr>
        <w:t>.</w:t>
      </w:r>
    </w:p>
    <w:p w14:paraId="444573C5" w14:textId="16D03009" w:rsidR="00E96A5C" w:rsidRPr="00F07170" w:rsidRDefault="001F26CF" w:rsidP="001F26CF">
      <w:pPr>
        <w:jc w:val="center"/>
      </w:pPr>
      <w:r w:rsidRPr="00F07170">
        <w:rPr>
          <w:noProof/>
          <w:lang w:val="en-CA" w:eastAsia="en-CA"/>
        </w:rPr>
        <w:drawing>
          <wp:inline distT="0" distB="0" distL="0" distR="0" wp14:anchorId="4BCF800B" wp14:editId="6F848FAF">
            <wp:extent cx="5956300" cy="2710815"/>
            <wp:effectExtent l="0" t="0" r="6350" b="13335"/>
            <wp:docPr id="1472634231" name="Chart 1">
              <a:extLst xmlns:a="http://schemas.openxmlformats.org/drawingml/2006/main">
                <a:ext uri="{FF2B5EF4-FFF2-40B4-BE49-F238E27FC236}">
                  <a16:creationId xmlns:a16="http://schemas.microsoft.com/office/drawing/2014/main" id="{99ED2E4B-73B6-9B70-9826-D872C17A39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91BE80" w14:textId="6E1AF91E" w:rsidR="00E96A5C" w:rsidRPr="00F07170" w:rsidRDefault="00E96A5C">
      <w:pPr>
        <w:rPr>
          <w:lang w:val="fr-CA"/>
        </w:rPr>
      </w:pPr>
      <w:r w:rsidRPr="00F07170">
        <w:rPr>
          <w:lang w:val="fr-CA"/>
        </w:rPr>
        <w:lastRenderedPageBreak/>
        <w:t xml:space="preserve">Description : </w:t>
      </w:r>
      <w:r w:rsidR="005A0554" w:rsidRPr="00F07170">
        <w:rPr>
          <w:lang w:val="fr-CA"/>
        </w:rPr>
        <w:t xml:space="preserve">Un </w:t>
      </w:r>
      <w:r w:rsidR="00C05F86" w:rsidRPr="00F07170">
        <w:rPr>
          <w:lang w:val="fr-CA"/>
        </w:rPr>
        <w:t>graphique</w:t>
      </w:r>
      <w:r w:rsidR="005A0554" w:rsidRPr="00F07170">
        <w:rPr>
          <w:lang w:val="fr-CA"/>
        </w:rPr>
        <w:t xml:space="preserve"> à colonnes intitulé </w:t>
      </w:r>
      <w:r w:rsidR="007D558D" w:rsidRPr="00F07170">
        <w:rPr>
          <w:lang w:val="fr-CA"/>
        </w:rPr>
        <w:t>« Valeur perçue » présente</w:t>
      </w:r>
      <w:r w:rsidR="005A0554" w:rsidRPr="00F07170">
        <w:rPr>
          <w:lang w:val="fr-CA"/>
        </w:rPr>
        <w:t xml:space="preserve"> </w:t>
      </w:r>
      <w:r w:rsidR="001F26CF" w:rsidRPr="00F07170">
        <w:rPr>
          <w:lang w:val="fr-CA"/>
        </w:rPr>
        <w:t xml:space="preserve">les notes </w:t>
      </w:r>
      <w:r w:rsidR="007D558D" w:rsidRPr="00F07170">
        <w:rPr>
          <w:lang w:val="fr-CA"/>
        </w:rPr>
        <w:t>moyennes d</w:t>
      </w:r>
      <w:r w:rsidR="001F26CF" w:rsidRPr="00F07170">
        <w:rPr>
          <w:lang w:val="fr-CA"/>
        </w:rPr>
        <w:t xml:space="preserve">es </w:t>
      </w:r>
      <w:r w:rsidR="007D558D" w:rsidRPr="00F07170">
        <w:rPr>
          <w:lang w:val="fr-CA"/>
        </w:rPr>
        <w:t>demandeurs d’emploi</w:t>
      </w:r>
      <w:r w:rsidR="001F26CF" w:rsidRPr="00F07170">
        <w:rPr>
          <w:lang w:val="fr-CA"/>
        </w:rPr>
        <w:t xml:space="preserve"> à l</w:t>
      </w:r>
      <w:r w:rsidR="001407B6" w:rsidRPr="00F07170">
        <w:rPr>
          <w:lang w:val="fr-CA"/>
        </w:rPr>
        <w:t>’</w:t>
      </w:r>
      <w:r w:rsidR="001F26CF" w:rsidRPr="00F07170">
        <w:rPr>
          <w:lang w:val="fr-CA"/>
        </w:rPr>
        <w:t>importance qu</w:t>
      </w:r>
      <w:r w:rsidR="001407B6" w:rsidRPr="00F07170">
        <w:rPr>
          <w:lang w:val="fr-CA"/>
        </w:rPr>
        <w:t>’</w:t>
      </w:r>
      <w:r w:rsidR="001F26CF" w:rsidRPr="00F07170">
        <w:rPr>
          <w:lang w:val="fr-CA"/>
        </w:rPr>
        <w:t xml:space="preserve">ils </w:t>
      </w:r>
      <w:r w:rsidR="00C05F86" w:rsidRPr="00F07170">
        <w:rPr>
          <w:lang w:val="fr-CA"/>
        </w:rPr>
        <w:t xml:space="preserve">pensent que les employeurs </w:t>
      </w:r>
      <w:r w:rsidR="001F26CF" w:rsidRPr="00F07170">
        <w:rPr>
          <w:lang w:val="fr-CA"/>
        </w:rPr>
        <w:t xml:space="preserve">accordent à chaque ensemble de compétences. </w:t>
      </w:r>
      <w:r w:rsidR="005A0554" w:rsidRPr="00F07170">
        <w:rPr>
          <w:lang w:val="fr-CA"/>
        </w:rPr>
        <w:t>L</w:t>
      </w:r>
      <w:r w:rsidR="001407B6" w:rsidRPr="00F07170">
        <w:rPr>
          <w:lang w:val="fr-CA"/>
        </w:rPr>
        <w:t>’</w:t>
      </w:r>
      <w:r w:rsidR="005A0554" w:rsidRPr="00F07170">
        <w:rPr>
          <w:lang w:val="fr-CA"/>
        </w:rPr>
        <w:t xml:space="preserve">axe des x indique les </w:t>
      </w:r>
      <w:r w:rsidR="001F26CF" w:rsidRPr="00F07170">
        <w:rPr>
          <w:lang w:val="fr-CA"/>
        </w:rPr>
        <w:t xml:space="preserve">cinq compétences : </w:t>
      </w:r>
      <w:r w:rsidR="00C05F86" w:rsidRPr="00F07170">
        <w:rPr>
          <w:lang w:val="fr-CA"/>
        </w:rPr>
        <w:t>l’</w:t>
      </w:r>
      <w:r w:rsidR="001F26CF" w:rsidRPr="00F07170">
        <w:rPr>
          <w:lang w:val="fr-CA"/>
        </w:rPr>
        <w:t xml:space="preserve">adaptabilité, </w:t>
      </w:r>
      <w:r w:rsidR="00C05F86" w:rsidRPr="00F07170">
        <w:rPr>
          <w:lang w:val="fr-CA"/>
        </w:rPr>
        <w:t xml:space="preserve">la </w:t>
      </w:r>
      <w:r w:rsidR="001F26CF" w:rsidRPr="00F07170">
        <w:rPr>
          <w:lang w:val="fr-CA"/>
        </w:rPr>
        <w:t xml:space="preserve">collaboration, </w:t>
      </w:r>
      <w:r w:rsidR="00C05F86" w:rsidRPr="00F07170">
        <w:rPr>
          <w:lang w:val="fr-CA"/>
        </w:rPr>
        <w:t xml:space="preserve">la </w:t>
      </w:r>
      <w:r w:rsidR="001F26CF" w:rsidRPr="00F07170">
        <w:rPr>
          <w:lang w:val="fr-CA"/>
        </w:rPr>
        <w:t xml:space="preserve">communication, </w:t>
      </w:r>
      <w:r w:rsidR="00C05F86" w:rsidRPr="00F07170">
        <w:rPr>
          <w:lang w:val="fr-CA"/>
        </w:rPr>
        <w:t xml:space="preserve">la </w:t>
      </w:r>
      <w:r w:rsidR="001F26CF" w:rsidRPr="00F07170">
        <w:rPr>
          <w:lang w:val="fr-CA"/>
        </w:rPr>
        <w:t xml:space="preserve">créativité et </w:t>
      </w:r>
      <w:r w:rsidR="00C05F86" w:rsidRPr="00F07170">
        <w:rPr>
          <w:lang w:val="fr-CA"/>
        </w:rPr>
        <w:t>l’</w:t>
      </w:r>
      <w:r w:rsidR="001F26CF" w:rsidRPr="00F07170">
        <w:rPr>
          <w:lang w:val="fr-CA"/>
        </w:rPr>
        <w:t xml:space="preserve">innovation, et </w:t>
      </w:r>
      <w:r w:rsidR="00C05F86" w:rsidRPr="00F07170">
        <w:rPr>
          <w:lang w:val="fr-CA"/>
        </w:rPr>
        <w:t xml:space="preserve">la </w:t>
      </w:r>
      <w:r w:rsidR="001F26CF" w:rsidRPr="00F07170">
        <w:rPr>
          <w:lang w:val="fr-CA"/>
        </w:rPr>
        <w:t xml:space="preserve">résolution de problèmes. </w:t>
      </w:r>
      <w:r w:rsidR="005A0554" w:rsidRPr="00F07170">
        <w:rPr>
          <w:lang w:val="fr-CA"/>
        </w:rPr>
        <w:t>L</w:t>
      </w:r>
      <w:r w:rsidR="001407B6" w:rsidRPr="00F07170">
        <w:rPr>
          <w:lang w:val="fr-CA"/>
        </w:rPr>
        <w:t>’</w:t>
      </w:r>
      <w:r w:rsidR="005A0554" w:rsidRPr="00F07170">
        <w:rPr>
          <w:lang w:val="fr-CA"/>
        </w:rPr>
        <w:t xml:space="preserve">axe des y </w:t>
      </w:r>
      <w:r w:rsidR="00C05F86" w:rsidRPr="00F07170">
        <w:rPr>
          <w:lang w:val="fr-CA"/>
        </w:rPr>
        <w:t xml:space="preserve">affiche les choix de réponse, soit </w:t>
      </w:r>
      <w:r w:rsidR="001F26CF" w:rsidRPr="00F07170">
        <w:rPr>
          <w:lang w:val="fr-CA"/>
        </w:rPr>
        <w:t>de 1 (très peu important) à 5 (très important)</w:t>
      </w:r>
      <w:r w:rsidR="005A0554" w:rsidRPr="00F07170">
        <w:rPr>
          <w:lang w:val="fr-CA"/>
        </w:rPr>
        <w:t xml:space="preserve">. Ce graphique </w:t>
      </w:r>
      <w:r w:rsidR="001F26CF" w:rsidRPr="00F07170">
        <w:rPr>
          <w:lang w:val="fr-CA"/>
        </w:rPr>
        <w:t>montre qu</w:t>
      </w:r>
      <w:r w:rsidR="00C05F86" w:rsidRPr="00F07170">
        <w:rPr>
          <w:lang w:val="fr-CA"/>
        </w:rPr>
        <w:t xml:space="preserve">’en moyenne, les demandeurs d’emploi </w:t>
      </w:r>
      <w:r w:rsidR="00221038" w:rsidRPr="00F07170">
        <w:rPr>
          <w:lang w:val="fr-CA"/>
        </w:rPr>
        <w:t>pensent</w:t>
      </w:r>
      <w:r w:rsidR="001F26CF" w:rsidRPr="00F07170">
        <w:rPr>
          <w:lang w:val="fr-CA"/>
        </w:rPr>
        <w:t xml:space="preserve"> </w:t>
      </w:r>
      <w:r w:rsidR="00C05F86" w:rsidRPr="00F07170">
        <w:rPr>
          <w:lang w:val="fr-CA"/>
        </w:rPr>
        <w:t xml:space="preserve">que les employeurs </w:t>
      </w:r>
      <w:r w:rsidR="00221038" w:rsidRPr="00F07170">
        <w:rPr>
          <w:lang w:val="fr-CA"/>
        </w:rPr>
        <w:t>valorisent les</w:t>
      </w:r>
      <w:r w:rsidR="00C05F86" w:rsidRPr="00F07170">
        <w:rPr>
          <w:lang w:val="fr-CA"/>
        </w:rPr>
        <w:t xml:space="preserve"> différentes </w:t>
      </w:r>
      <w:r w:rsidR="001F26CF" w:rsidRPr="00F07170">
        <w:rPr>
          <w:lang w:val="fr-CA"/>
        </w:rPr>
        <w:t>compétences</w:t>
      </w:r>
      <w:r w:rsidR="00C05F86" w:rsidRPr="00F07170">
        <w:rPr>
          <w:lang w:val="fr-CA"/>
        </w:rPr>
        <w:t xml:space="preserve"> comme suit : l</w:t>
      </w:r>
      <w:r w:rsidR="001407B6" w:rsidRPr="00F07170">
        <w:rPr>
          <w:lang w:val="fr-CA"/>
        </w:rPr>
        <w:t>’</w:t>
      </w:r>
      <w:r w:rsidR="001F26CF" w:rsidRPr="00F07170">
        <w:rPr>
          <w:lang w:val="fr-CA"/>
        </w:rPr>
        <w:t>adaptabilité</w:t>
      </w:r>
      <w:r w:rsidR="00C05F86" w:rsidRPr="00F07170">
        <w:rPr>
          <w:lang w:val="fr-CA"/>
        </w:rPr>
        <w:t> :</w:t>
      </w:r>
      <w:r w:rsidR="001F26CF" w:rsidRPr="00F07170">
        <w:rPr>
          <w:lang w:val="fr-CA"/>
        </w:rPr>
        <w:t xml:space="preserve"> 4,0</w:t>
      </w:r>
      <w:r w:rsidR="00C05F86" w:rsidRPr="00F07170">
        <w:rPr>
          <w:lang w:val="fr-CA"/>
        </w:rPr>
        <w:t xml:space="preserve">; la collaboration : </w:t>
      </w:r>
      <w:r w:rsidR="001F26CF" w:rsidRPr="00F07170">
        <w:rPr>
          <w:lang w:val="fr-CA"/>
        </w:rPr>
        <w:t>4,2</w:t>
      </w:r>
      <w:r w:rsidR="00C05F86" w:rsidRPr="00F07170">
        <w:rPr>
          <w:lang w:val="fr-CA"/>
        </w:rPr>
        <w:t xml:space="preserve">; </w:t>
      </w:r>
      <w:r w:rsidR="001F26CF" w:rsidRPr="00F07170">
        <w:rPr>
          <w:lang w:val="fr-CA"/>
        </w:rPr>
        <w:t>la communication</w:t>
      </w:r>
      <w:r w:rsidR="00C05F86" w:rsidRPr="00F07170">
        <w:rPr>
          <w:lang w:val="fr-CA"/>
        </w:rPr>
        <w:t> :</w:t>
      </w:r>
      <w:r w:rsidR="001F26CF" w:rsidRPr="00F07170">
        <w:rPr>
          <w:lang w:val="fr-CA"/>
        </w:rPr>
        <w:t xml:space="preserve"> 4,4</w:t>
      </w:r>
      <w:r w:rsidR="00C05F86" w:rsidRPr="00F07170">
        <w:rPr>
          <w:lang w:val="fr-CA"/>
        </w:rPr>
        <w:t xml:space="preserve">; </w:t>
      </w:r>
      <w:r w:rsidR="001F26CF" w:rsidRPr="00F07170">
        <w:rPr>
          <w:lang w:val="fr-CA"/>
        </w:rPr>
        <w:t>la créativité et l</w:t>
      </w:r>
      <w:r w:rsidR="001407B6" w:rsidRPr="00F07170">
        <w:rPr>
          <w:lang w:val="fr-CA"/>
        </w:rPr>
        <w:t>’</w:t>
      </w:r>
      <w:r w:rsidR="001F26CF" w:rsidRPr="00F07170">
        <w:rPr>
          <w:lang w:val="fr-CA"/>
        </w:rPr>
        <w:t>innovation</w:t>
      </w:r>
      <w:r w:rsidR="00C05F86" w:rsidRPr="00F07170">
        <w:rPr>
          <w:lang w:val="fr-CA"/>
        </w:rPr>
        <w:t> :</w:t>
      </w:r>
      <w:r w:rsidR="001F26CF" w:rsidRPr="00F07170">
        <w:rPr>
          <w:lang w:val="fr-CA"/>
        </w:rPr>
        <w:t xml:space="preserve"> 3,6</w:t>
      </w:r>
      <w:r w:rsidR="00C05F86" w:rsidRPr="00F07170">
        <w:rPr>
          <w:lang w:val="fr-CA"/>
        </w:rPr>
        <w:t> :</w:t>
      </w:r>
      <w:r w:rsidR="001F26CF" w:rsidRPr="00F07170">
        <w:rPr>
          <w:lang w:val="fr-CA"/>
        </w:rPr>
        <w:t xml:space="preserve"> et la résolution de problèmes</w:t>
      </w:r>
      <w:r w:rsidR="00C05F86" w:rsidRPr="00F07170">
        <w:rPr>
          <w:lang w:val="fr-CA"/>
        </w:rPr>
        <w:t> :</w:t>
      </w:r>
      <w:r w:rsidR="001F26CF" w:rsidRPr="00F07170">
        <w:rPr>
          <w:lang w:val="fr-CA"/>
        </w:rPr>
        <w:t xml:space="preserve"> 4,3. </w:t>
      </w:r>
      <w:r w:rsidR="00FE6610" w:rsidRPr="00F07170">
        <w:rPr>
          <w:lang w:val="fr-CA"/>
        </w:rPr>
        <w:t xml:space="preserve">Les demandeurs d’emploi considéraient donc que les employeurs valorisaient la </w:t>
      </w:r>
      <w:r w:rsidR="001F26CF" w:rsidRPr="00F07170">
        <w:rPr>
          <w:lang w:val="fr-CA"/>
        </w:rPr>
        <w:t>communication</w:t>
      </w:r>
      <w:r w:rsidR="00FE6610" w:rsidRPr="00F07170">
        <w:rPr>
          <w:lang w:val="fr-CA"/>
        </w:rPr>
        <w:t xml:space="preserve"> comme la compétence la plus importante alors qu’ils plaçaient </w:t>
      </w:r>
      <w:r w:rsidR="001F26CF" w:rsidRPr="00F07170">
        <w:rPr>
          <w:lang w:val="fr-CA"/>
        </w:rPr>
        <w:t>les compétences de créativité et d</w:t>
      </w:r>
      <w:r w:rsidR="001407B6" w:rsidRPr="00F07170">
        <w:rPr>
          <w:lang w:val="fr-CA"/>
        </w:rPr>
        <w:t>’</w:t>
      </w:r>
      <w:r w:rsidR="001F26CF" w:rsidRPr="00F07170">
        <w:rPr>
          <w:lang w:val="fr-CA"/>
        </w:rPr>
        <w:t xml:space="preserve">innovation </w:t>
      </w:r>
      <w:r w:rsidR="00FE6610" w:rsidRPr="00F07170">
        <w:rPr>
          <w:lang w:val="fr-CA"/>
        </w:rPr>
        <w:t xml:space="preserve">au dernier rang. </w:t>
      </w:r>
    </w:p>
    <w:p w14:paraId="7C86EEF2" w14:textId="2C6B18EE" w:rsidR="00F1385A" w:rsidRPr="00F07170" w:rsidRDefault="00F1385A" w:rsidP="00F1385A">
      <w:pPr>
        <w:rPr>
          <w:lang w:val="fr-CA"/>
        </w:rPr>
      </w:pPr>
      <w:r w:rsidRPr="00F07170">
        <w:rPr>
          <w:lang w:val="fr-CA"/>
        </w:rPr>
        <w:t>Les données d</w:t>
      </w:r>
      <w:r w:rsidR="00FE6610" w:rsidRPr="00F07170">
        <w:rPr>
          <w:lang w:val="fr-CA"/>
        </w:rPr>
        <w:t xml:space="preserve">u sondage </w:t>
      </w:r>
      <w:r w:rsidRPr="00F07170">
        <w:rPr>
          <w:lang w:val="fr-CA"/>
        </w:rPr>
        <w:t>montr</w:t>
      </w:r>
      <w:r w:rsidR="00FE6610" w:rsidRPr="00F07170">
        <w:rPr>
          <w:lang w:val="fr-CA"/>
        </w:rPr>
        <w:t>ent</w:t>
      </w:r>
      <w:r w:rsidRPr="00F07170">
        <w:rPr>
          <w:lang w:val="fr-CA"/>
        </w:rPr>
        <w:t xml:space="preserve"> que les demandeurs d</w:t>
      </w:r>
      <w:r w:rsidR="001407B6" w:rsidRPr="00F07170">
        <w:rPr>
          <w:lang w:val="fr-CA"/>
        </w:rPr>
        <w:t>’</w:t>
      </w:r>
      <w:r w:rsidRPr="00F07170">
        <w:rPr>
          <w:lang w:val="fr-CA"/>
        </w:rPr>
        <w:t xml:space="preserve">emploi estiment que les compétences </w:t>
      </w:r>
      <w:r w:rsidR="00FE6610" w:rsidRPr="00F07170">
        <w:rPr>
          <w:lang w:val="fr-CA"/>
        </w:rPr>
        <w:t>de</w:t>
      </w:r>
      <w:r w:rsidRPr="00F07170">
        <w:rPr>
          <w:lang w:val="fr-CA"/>
        </w:rPr>
        <w:t xml:space="preserve"> communication, </w:t>
      </w:r>
      <w:r w:rsidR="00FE6610" w:rsidRPr="00F07170">
        <w:rPr>
          <w:lang w:val="fr-CA"/>
        </w:rPr>
        <w:t>de</w:t>
      </w:r>
      <w:r w:rsidRPr="00F07170">
        <w:rPr>
          <w:lang w:val="fr-CA"/>
        </w:rPr>
        <w:t xml:space="preserve"> résolution de problèmes et de collaboration </w:t>
      </w:r>
      <w:r w:rsidR="00FE6610" w:rsidRPr="00F07170">
        <w:rPr>
          <w:lang w:val="fr-CA"/>
        </w:rPr>
        <w:t>sont</w:t>
      </w:r>
      <w:r w:rsidRPr="00F07170">
        <w:rPr>
          <w:lang w:val="fr-CA"/>
        </w:rPr>
        <w:t xml:space="preserve"> particulièrement importantes pour les employeurs.</w:t>
      </w:r>
    </w:p>
    <w:p w14:paraId="79C21C81" w14:textId="20848579" w:rsidR="00F1385A" w:rsidRPr="00F07170" w:rsidRDefault="00FE6610" w:rsidP="00F1385A">
      <w:pPr>
        <w:rPr>
          <w:lang w:val="fr-CA"/>
        </w:rPr>
      </w:pPr>
      <w:r w:rsidRPr="00F07170">
        <w:rPr>
          <w:lang w:val="fr-CA"/>
        </w:rPr>
        <w:t>L</w:t>
      </w:r>
      <w:r w:rsidR="00F1385A" w:rsidRPr="00F07170">
        <w:rPr>
          <w:lang w:val="fr-CA"/>
        </w:rPr>
        <w:t>es pages suivantes</w:t>
      </w:r>
      <w:r w:rsidRPr="00F07170">
        <w:rPr>
          <w:lang w:val="fr-CA"/>
        </w:rPr>
        <w:t xml:space="preserve"> décrivent</w:t>
      </w:r>
      <w:r w:rsidR="00F1385A" w:rsidRPr="00F07170">
        <w:rPr>
          <w:lang w:val="fr-CA"/>
        </w:rPr>
        <w:t xml:space="preserve"> trois des thèmes les plus </w:t>
      </w:r>
      <w:r w:rsidRPr="00F07170">
        <w:rPr>
          <w:lang w:val="fr-CA"/>
        </w:rPr>
        <w:t xml:space="preserve">importants </w:t>
      </w:r>
      <w:r w:rsidR="00F1385A" w:rsidRPr="00F07170">
        <w:rPr>
          <w:lang w:val="fr-CA"/>
        </w:rPr>
        <w:t xml:space="preserve">qui </w:t>
      </w:r>
      <w:r w:rsidRPr="00F07170">
        <w:rPr>
          <w:lang w:val="fr-CA"/>
        </w:rPr>
        <w:t xml:space="preserve">se dégagent au sujet </w:t>
      </w:r>
      <w:r w:rsidR="00F1385A" w:rsidRPr="00F07170">
        <w:rPr>
          <w:lang w:val="fr-CA"/>
        </w:rPr>
        <w:t>des compétences transférables et de leur valeur.</w:t>
      </w:r>
    </w:p>
    <w:p w14:paraId="4015485A" w14:textId="31BAA030" w:rsidR="008501D5" w:rsidRPr="00F07170" w:rsidRDefault="008501D5">
      <w:pPr>
        <w:rPr>
          <w:lang w:val="fr-CA"/>
        </w:rPr>
      </w:pPr>
      <w:r w:rsidRPr="00F07170">
        <w:rPr>
          <w:lang w:val="fr-CA"/>
        </w:rPr>
        <w:br w:type="page"/>
      </w:r>
    </w:p>
    <w:p w14:paraId="1E9F1F2B" w14:textId="009F8434" w:rsidR="009009DA" w:rsidRPr="00F07170" w:rsidRDefault="008F3161" w:rsidP="00F1385A">
      <w:pPr>
        <w:pStyle w:val="Heading2"/>
        <w:rPr>
          <w:lang w:val="fr-CA"/>
        </w:rPr>
      </w:pPr>
      <w:bookmarkStart w:id="5" w:name="_Toc191281430"/>
      <w:r w:rsidRPr="00F07170">
        <w:rPr>
          <w:lang w:val="fr-CA"/>
        </w:rPr>
        <w:lastRenderedPageBreak/>
        <w:t>Perception</w:t>
      </w:r>
      <w:r w:rsidR="0028320F" w:rsidRPr="00F07170">
        <w:rPr>
          <w:lang w:val="fr-CA"/>
        </w:rPr>
        <w:t xml:space="preserve"> 1 : </w:t>
      </w:r>
      <w:r w:rsidR="00167794" w:rsidRPr="00F07170">
        <w:rPr>
          <w:lang w:val="fr-CA"/>
        </w:rPr>
        <w:t>Il faut d</w:t>
      </w:r>
      <w:r w:rsidR="00C4616E" w:rsidRPr="00F07170">
        <w:rPr>
          <w:lang w:val="fr-CA"/>
        </w:rPr>
        <w:t xml:space="preserve">e solides </w:t>
      </w:r>
      <w:r w:rsidR="00082E3F" w:rsidRPr="00F07170">
        <w:rPr>
          <w:lang w:val="fr-CA"/>
        </w:rPr>
        <w:t>compétences en communication</w:t>
      </w:r>
      <w:r w:rsidR="009B27A0" w:rsidRPr="00F07170">
        <w:rPr>
          <w:lang w:val="fr-CA"/>
        </w:rPr>
        <w:t>.</w:t>
      </w:r>
      <w:bookmarkEnd w:id="5"/>
    </w:p>
    <w:p w14:paraId="5C44ADFD" w14:textId="4095F078" w:rsidR="003D1793" w:rsidRPr="00F07170" w:rsidRDefault="00167794" w:rsidP="00D13FBA">
      <w:pPr>
        <w:rPr>
          <w:lang w:val="fr-CA"/>
        </w:rPr>
      </w:pPr>
      <w:r w:rsidRPr="00F07170">
        <w:rPr>
          <w:lang w:val="fr-CA"/>
        </w:rPr>
        <w:t>L</w:t>
      </w:r>
      <w:r w:rsidR="003D1793" w:rsidRPr="00F07170">
        <w:rPr>
          <w:lang w:val="fr-CA"/>
        </w:rPr>
        <w:t>es demandeurs d</w:t>
      </w:r>
      <w:r w:rsidR="001407B6" w:rsidRPr="00F07170">
        <w:rPr>
          <w:lang w:val="fr-CA"/>
        </w:rPr>
        <w:t>’</w:t>
      </w:r>
      <w:r w:rsidR="003D1793" w:rsidRPr="00F07170">
        <w:rPr>
          <w:lang w:val="fr-CA"/>
        </w:rPr>
        <w:t>emploi estiment</w:t>
      </w:r>
      <w:r w:rsidRPr="00F07170">
        <w:rPr>
          <w:lang w:val="fr-CA"/>
        </w:rPr>
        <w:t>, dans une proportion de 85 %,</w:t>
      </w:r>
      <w:r w:rsidR="003D1793" w:rsidRPr="00F07170">
        <w:rPr>
          <w:lang w:val="fr-CA"/>
        </w:rPr>
        <w:t xml:space="preserve"> que les </w:t>
      </w:r>
      <w:r w:rsidRPr="00F07170">
        <w:rPr>
          <w:lang w:val="fr-CA"/>
        </w:rPr>
        <w:t xml:space="preserve">employeurs considèrent les </w:t>
      </w:r>
      <w:r w:rsidR="003D1793" w:rsidRPr="00F07170">
        <w:rPr>
          <w:lang w:val="fr-CA"/>
        </w:rPr>
        <w:t xml:space="preserve">compétences en communication </w:t>
      </w:r>
      <w:r w:rsidRPr="00F07170">
        <w:rPr>
          <w:lang w:val="fr-CA"/>
        </w:rPr>
        <w:t>comme</w:t>
      </w:r>
      <w:r w:rsidR="003D1793" w:rsidRPr="00F07170">
        <w:rPr>
          <w:lang w:val="fr-CA"/>
        </w:rPr>
        <w:t xml:space="preserve"> </w:t>
      </w:r>
      <w:r w:rsidR="00023BFB" w:rsidRPr="00F07170">
        <w:rPr>
          <w:lang w:val="fr-CA"/>
        </w:rPr>
        <w:t xml:space="preserve">importantes </w:t>
      </w:r>
      <w:r w:rsidR="003D1793" w:rsidRPr="00F07170">
        <w:rPr>
          <w:lang w:val="fr-CA"/>
        </w:rPr>
        <w:t>ou très importantes.</w:t>
      </w:r>
    </w:p>
    <w:p w14:paraId="258F82CE" w14:textId="1BD3ED96" w:rsidR="00D13FBA" w:rsidRPr="00F07170" w:rsidRDefault="00167794" w:rsidP="00210EA9">
      <w:pPr>
        <w:rPr>
          <w:lang w:val="fr-CA"/>
        </w:rPr>
      </w:pPr>
      <w:r w:rsidRPr="00F07170">
        <w:rPr>
          <w:lang w:val="fr-CA"/>
        </w:rPr>
        <w:t>Tous s’entendent – l</w:t>
      </w:r>
      <w:r w:rsidR="00D13FBA" w:rsidRPr="00F07170">
        <w:rPr>
          <w:lang w:val="fr-CA"/>
        </w:rPr>
        <w:t xml:space="preserve">es employeurs, les </w:t>
      </w:r>
      <w:r w:rsidRPr="00F07170">
        <w:rPr>
          <w:lang w:val="fr-CA"/>
        </w:rPr>
        <w:t>fournisseurs</w:t>
      </w:r>
      <w:r w:rsidR="00D13FBA" w:rsidRPr="00F07170">
        <w:rPr>
          <w:lang w:val="fr-CA"/>
        </w:rPr>
        <w:t xml:space="preserve"> de services et les demandeurs d</w:t>
      </w:r>
      <w:r w:rsidR="001407B6" w:rsidRPr="00F07170">
        <w:rPr>
          <w:lang w:val="fr-CA"/>
        </w:rPr>
        <w:t>’</w:t>
      </w:r>
      <w:r w:rsidR="00D13FBA" w:rsidRPr="00F07170">
        <w:rPr>
          <w:lang w:val="fr-CA"/>
        </w:rPr>
        <w:t xml:space="preserve">emploi </w:t>
      </w:r>
      <w:r w:rsidRPr="00F07170">
        <w:rPr>
          <w:lang w:val="fr-CA"/>
        </w:rPr>
        <w:t xml:space="preserve">en situation de </w:t>
      </w:r>
      <w:r w:rsidR="00D13FBA" w:rsidRPr="00F07170">
        <w:rPr>
          <w:lang w:val="fr-CA"/>
        </w:rPr>
        <w:t xml:space="preserve">handicap </w:t>
      </w:r>
      <w:r w:rsidRPr="00F07170">
        <w:rPr>
          <w:lang w:val="fr-CA"/>
        </w:rPr>
        <w:t xml:space="preserve">– que </w:t>
      </w:r>
      <w:r w:rsidR="00D13FBA" w:rsidRPr="00F07170">
        <w:rPr>
          <w:lang w:val="fr-CA"/>
        </w:rPr>
        <w:t>les compétences en communication sont essentielles à tou</w:t>
      </w:r>
      <w:r w:rsidR="00221038" w:rsidRPr="00F07170">
        <w:rPr>
          <w:lang w:val="fr-CA"/>
        </w:rPr>
        <w:t>te</w:t>
      </w:r>
      <w:r w:rsidR="00D13FBA" w:rsidRPr="00F07170">
        <w:rPr>
          <w:lang w:val="fr-CA"/>
        </w:rPr>
        <w:t xml:space="preserve">s les </w:t>
      </w:r>
      <w:r w:rsidRPr="00F07170">
        <w:rPr>
          <w:lang w:val="fr-CA"/>
        </w:rPr>
        <w:t xml:space="preserve">étapes d’une carrière, soit </w:t>
      </w:r>
      <w:r w:rsidR="00D13FBA" w:rsidRPr="00F07170">
        <w:rPr>
          <w:lang w:val="fr-CA"/>
        </w:rPr>
        <w:t>de la recherche d</w:t>
      </w:r>
      <w:r w:rsidR="001407B6" w:rsidRPr="00F07170">
        <w:rPr>
          <w:lang w:val="fr-CA"/>
        </w:rPr>
        <w:t>’</w:t>
      </w:r>
      <w:r w:rsidR="00D13FBA" w:rsidRPr="00F07170">
        <w:rPr>
          <w:lang w:val="fr-CA"/>
        </w:rPr>
        <w:t xml:space="preserve">un emploi au </w:t>
      </w:r>
      <w:r w:rsidRPr="00F07170">
        <w:rPr>
          <w:lang w:val="fr-CA"/>
        </w:rPr>
        <w:t>perfectionnement professionnel et aux promotions</w:t>
      </w:r>
      <w:r w:rsidR="00D13FBA" w:rsidRPr="00F07170">
        <w:rPr>
          <w:lang w:val="fr-CA"/>
        </w:rPr>
        <w:t>.</w:t>
      </w:r>
    </w:p>
    <w:p w14:paraId="6536A971" w14:textId="1A66B60D" w:rsidR="00D13FBA" w:rsidRPr="00F07170" w:rsidRDefault="00D13FBA" w:rsidP="00D13FBA">
      <w:pPr>
        <w:rPr>
          <w:lang w:val="fr-CA"/>
        </w:rPr>
      </w:pPr>
      <w:r w:rsidRPr="00F07170">
        <w:rPr>
          <w:lang w:val="fr-CA"/>
        </w:rPr>
        <w:t xml:space="preserve">Les employeurs recherchent des travailleurs </w:t>
      </w:r>
      <w:r w:rsidR="00167794" w:rsidRPr="00F07170">
        <w:rPr>
          <w:lang w:val="fr-CA"/>
        </w:rPr>
        <w:t xml:space="preserve">qui ont </w:t>
      </w:r>
      <w:r w:rsidRPr="00F07170">
        <w:rPr>
          <w:lang w:val="fr-CA"/>
        </w:rPr>
        <w:t xml:space="preserve">de solides compétences en </w:t>
      </w:r>
      <w:r w:rsidR="00167794" w:rsidRPr="00F07170">
        <w:rPr>
          <w:lang w:val="fr-CA"/>
        </w:rPr>
        <w:t>c</w:t>
      </w:r>
      <w:r w:rsidRPr="00F07170">
        <w:rPr>
          <w:lang w:val="fr-CA"/>
        </w:rPr>
        <w:t xml:space="preserve">ommunication </w:t>
      </w:r>
      <w:r w:rsidR="00167794" w:rsidRPr="00F07170">
        <w:rPr>
          <w:lang w:val="fr-CA"/>
        </w:rPr>
        <w:t xml:space="preserve">parce que ces compétences </w:t>
      </w:r>
      <w:r w:rsidRPr="00F07170">
        <w:rPr>
          <w:lang w:val="fr-CA"/>
        </w:rPr>
        <w:t>:</w:t>
      </w:r>
    </w:p>
    <w:p w14:paraId="71AB3314" w14:textId="5717891A" w:rsidR="00413B02" w:rsidRPr="00F07170" w:rsidRDefault="00413B02" w:rsidP="00413B02">
      <w:pPr>
        <w:pStyle w:val="ListParagraph"/>
        <w:numPr>
          <w:ilvl w:val="0"/>
          <w:numId w:val="12"/>
        </w:numPr>
        <w:rPr>
          <w:lang w:val="fr-CA"/>
        </w:rPr>
      </w:pPr>
      <w:proofErr w:type="gramStart"/>
      <w:r w:rsidRPr="00F07170">
        <w:rPr>
          <w:lang w:val="fr-CA"/>
        </w:rPr>
        <w:t>aident</w:t>
      </w:r>
      <w:proofErr w:type="gramEnd"/>
      <w:r w:rsidRPr="00F07170">
        <w:rPr>
          <w:lang w:val="fr-CA"/>
        </w:rPr>
        <w:t xml:space="preserve"> les employés à travailler efficacement avec les clients, les collègues et </w:t>
      </w:r>
      <w:r w:rsidR="00167794" w:rsidRPr="00F07170">
        <w:rPr>
          <w:lang w:val="fr-CA"/>
        </w:rPr>
        <w:t>les superviseurs;</w:t>
      </w:r>
    </w:p>
    <w:p w14:paraId="4FD383FF" w14:textId="6565E673" w:rsidR="00413B02" w:rsidRPr="00F07170" w:rsidRDefault="00413B02" w:rsidP="00413B02">
      <w:pPr>
        <w:pStyle w:val="ListParagraph"/>
        <w:numPr>
          <w:ilvl w:val="0"/>
          <w:numId w:val="12"/>
        </w:numPr>
        <w:rPr>
          <w:lang w:val="fr-CA"/>
        </w:rPr>
      </w:pPr>
      <w:proofErr w:type="gramStart"/>
      <w:r w:rsidRPr="00F07170">
        <w:rPr>
          <w:lang w:val="fr-CA"/>
        </w:rPr>
        <w:t>sont</w:t>
      </w:r>
      <w:proofErr w:type="gramEnd"/>
      <w:r w:rsidRPr="00F07170">
        <w:rPr>
          <w:lang w:val="fr-CA"/>
        </w:rPr>
        <w:t xml:space="preserve"> nécessaires </w:t>
      </w:r>
      <w:r w:rsidR="00167794" w:rsidRPr="00F07170">
        <w:rPr>
          <w:lang w:val="fr-CA"/>
        </w:rPr>
        <w:t>à la prestation d’</w:t>
      </w:r>
      <w:r w:rsidRPr="00F07170">
        <w:rPr>
          <w:lang w:val="fr-CA"/>
        </w:rPr>
        <w:t>un bon service à la clientèle</w:t>
      </w:r>
      <w:r w:rsidR="00167794" w:rsidRPr="00F07170">
        <w:rPr>
          <w:lang w:val="fr-CA"/>
        </w:rPr>
        <w:t>;</w:t>
      </w:r>
    </w:p>
    <w:p w14:paraId="007B9FB0" w14:textId="5F1B8C98" w:rsidR="00413B02" w:rsidRPr="00F07170" w:rsidRDefault="00413B02" w:rsidP="00413B02">
      <w:pPr>
        <w:pStyle w:val="ListParagraph"/>
        <w:numPr>
          <w:ilvl w:val="0"/>
          <w:numId w:val="12"/>
        </w:numPr>
        <w:rPr>
          <w:lang w:val="fr-CA"/>
        </w:rPr>
      </w:pPr>
      <w:proofErr w:type="gramStart"/>
      <w:r w:rsidRPr="00F07170">
        <w:rPr>
          <w:lang w:val="fr-CA"/>
        </w:rPr>
        <w:t>sont</w:t>
      </w:r>
      <w:proofErr w:type="gramEnd"/>
      <w:r w:rsidRPr="00F07170">
        <w:rPr>
          <w:lang w:val="fr-CA"/>
        </w:rPr>
        <w:t xml:space="preserve"> essentiel</w:t>
      </w:r>
      <w:r w:rsidR="00167794" w:rsidRPr="00F07170">
        <w:rPr>
          <w:lang w:val="fr-CA"/>
        </w:rPr>
        <w:t>le</w:t>
      </w:r>
      <w:r w:rsidRPr="00F07170">
        <w:rPr>
          <w:lang w:val="fr-CA"/>
        </w:rPr>
        <w:t>s pour gérer les conflits</w:t>
      </w:r>
      <w:r w:rsidR="00167794" w:rsidRPr="00F07170">
        <w:rPr>
          <w:lang w:val="fr-CA"/>
        </w:rPr>
        <w:t>; et</w:t>
      </w:r>
    </w:p>
    <w:p w14:paraId="2CFB3EBC" w14:textId="156480A6" w:rsidR="00413B02" w:rsidRPr="00F07170" w:rsidRDefault="00413B02" w:rsidP="00413B02">
      <w:pPr>
        <w:pStyle w:val="ListParagraph"/>
        <w:numPr>
          <w:ilvl w:val="0"/>
          <w:numId w:val="12"/>
        </w:numPr>
        <w:rPr>
          <w:lang w:val="fr-CA"/>
        </w:rPr>
      </w:pPr>
      <w:proofErr w:type="gramStart"/>
      <w:r w:rsidRPr="00F07170">
        <w:rPr>
          <w:lang w:val="fr-CA"/>
        </w:rPr>
        <w:t>aident</w:t>
      </w:r>
      <w:proofErr w:type="gramEnd"/>
      <w:r w:rsidRPr="00F07170">
        <w:rPr>
          <w:lang w:val="fr-CA"/>
        </w:rPr>
        <w:t xml:space="preserve"> les travailleurs à poser des questions et à informer le</w:t>
      </w:r>
      <w:r w:rsidR="00167794" w:rsidRPr="00F07170">
        <w:rPr>
          <w:lang w:val="fr-CA"/>
        </w:rPr>
        <w:t>ur</w:t>
      </w:r>
      <w:r w:rsidRPr="00F07170">
        <w:rPr>
          <w:lang w:val="fr-CA"/>
        </w:rPr>
        <w:t xml:space="preserve"> employeur lorsqu</w:t>
      </w:r>
      <w:r w:rsidR="001407B6" w:rsidRPr="00F07170">
        <w:rPr>
          <w:lang w:val="fr-CA"/>
        </w:rPr>
        <w:t>’</w:t>
      </w:r>
      <w:r w:rsidRPr="00F07170">
        <w:rPr>
          <w:lang w:val="fr-CA"/>
        </w:rPr>
        <w:t>ils ont besoin d</w:t>
      </w:r>
      <w:r w:rsidR="001407B6" w:rsidRPr="00F07170">
        <w:rPr>
          <w:lang w:val="fr-CA"/>
        </w:rPr>
        <w:t>’</w:t>
      </w:r>
      <w:r w:rsidRPr="00F07170">
        <w:rPr>
          <w:lang w:val="fr-CA"/>
        </w:rPr>
        <w:t>aide</w:t>
      </w:r>
      <w:r w:rsidR="00167794" w:rsidRPr="00F07170">
        <w:rPr>
          <w:lang w:val="fr-CA"/>
        </w:rPr>
        <w:t>.</w:t>
      </w:r>
    </w:p>
    <w:p w14:paraId="5E6B49B0" w14:textId="309C5343" w:rsidR="00413B02" w:rsidRPr="00F07170" w:rsidRDefault="00413B02" w:rsidP="00413B02">
      <w:pPr>
        <w:ind w:left="360"/>
        <w:rPr>
          <w:lang w:val="fr-CA"/>
        </w:rPr>
      </w:pPr>
      <w:r w:rsidRPr="00F07170">
        <w:rPr>
          <w:lang w:val="fr-CA"/>
        </w:rPr>
        <w:t>Les demandeurs d</w:t>
      </w:r>
      <w:r w:rsidR="001407B6" w:rsidRPr="00F07170">
        <w:rPr>
          <w:lang w:val="fr-CA"/>
        </w:rPr>
        <w:t>’</w:t>
      </w:r>
      <w:r w:rsidRPr="00F07170">
        <w:rPr>
          <w:lang w:val="fr-CA"/>
        </w:rPr>
        <w:t xml:space="preserve">emploi </w:t>
      </w:r>
      <w:r w:rsidR="00167794" w:rsidRPr="00F07170">
        <w:rPr>
          <w:lang w:val="fr-CA"/>
        </w:rPr>
        <w:t xml:space="preserve">en situation de </w:t>
      </w:r>
      <w:r w:rsidRPr="00F07170">
        <w:rPr>
          <w:lang w:val="fr-CA"/>
        </w:rPr>
        <w:t xml:space="preserve">handicap et les </w:t>
      </w:r>
      <w:r w:rsidR="00167794" w:rsidRPr="00F07170">
        <w:rPr>
          <w:lang w:val="fr-CA"/>
        </w:rPr>
        <w:t>fournisseurs</w:t>
      </w:r>
      <w:r w:rsidRPr="00F07170">
        <w:rPr>
          <w:lang w:val="fr-CA"/>
        </w:rPr>
        <w:t xml:space="preserve"> de services qui ont travaillé avec eux </w:t>
      </w:r>
      <w:r w:rsidR="00167794" w:rsidRPr="00F07170">
        <w:rPr>
          <w:lang w:val="fr-CA"/>
        </w:rPr>
        <w:t>valorisent</w:t>
      </w:r>
      <w:r w:rsidRPr="00F07170">
        <w:rPr>
          <w:lang w:val="fr-CA"/>
        </w:rPr>
        <w:t xml:space="preserve"> les compétences de communication pour les raisons suivantes :</w:t>
      </w:r>
    </w:p>
    <w:p w14:paraId="6B46E7A2" w14:textId="70BA19B5" w:rsidR="00B84008" w:rsidRPr="00F07170" w:rsidRDefault="00167794" w:rsidP="00B84008">
      <w:pPr>
        <w:pStyle w:val="ListParagraph"/>
        <w:numPr>
          <w:ilvl w:val="0"/>
          <w:numId w:val="13"/>
        </w:numPr>
        <w:tabs>
          <w:tab w:val="left" w:pos="1940"/>
        </w:tabs>
        <w:rPr>
          <w:lang w:val="fr-CA"/>
        </w:rPr>
      </w:pPr>
      <w:r w:rsidRPr="00F07170">
        <w:rPr>
          <w:lang w:val="fr-CA"/>
        </w:rPr>
        <w:t xml:space="preserve">Elles </w:t>
      </w:r>
      <w:r w:rsidR="00B84008" w:rsidRPr="00F07170">
        <w:rPr>
          <w:lang w:val="fr-CA"/>
        </w:rPr>
        <w:t xml:space="preserve">sont indispensables pour </w:t>
      </w:r>
      <w:r w:rsidRPr="00F07170">
        <w:rPr>
          <w:lang w:val="fr-CA"/>
        </w:rPr>
        <w:t>préparer une demande d’emploi</w:t>
      </w:r>
      <w:r w:rsidR="00B84008" w:rsidRPr="00F07170">
        <w:rPr>
          <w:lang w:val="fr-CA"/>
        </w:rPr>
        <w:t xml:space="preserve"> et passer des entre</w:t>
      </w:r>
      <w:r w:rsidRPr="00F07170">
        <w:rPr>
          <w:lang w:val="fr-CA"/>
        </w:rPr>
        <w:t>vues</w:t>
      </w:r>
      <w:r w:rsidR="00B84008" w:rsidRPr="00F07170">
        <w:rPr>
          <w:lang w:val="fr-CA"/>
        </w:rPr>
        <w:t>.</w:t>
      </w:r>
    </w:p>
    <w:p w14:paraId="1A311E80" w14:textId="5E42B463" w:rsidR="00B84008" w:rsidRPr="00F07170" w:rsidRDefault="00167794" w:rsidP="00B84008">
      <w:pPr>
        <w:pStyle w:val="ListParagraph"/>
        <w:numPr>
          <w:ilvl w:val="0"/>
          <w:numId w:val="13"/>
        </w:numPr>
        <w:tabs>
          <w:tab w:val="left" w:pos="1940"/>
        </w:tabs>
        <w:rPr>
          <w:lang w:val="fr-CA"/>
        </w:rPr>
      </w:pPr>
      <w:r w:rsidRPr="00F07170">
        <w:rPr>
          <w:lang w:val="fr-CA"/>
        </w:rPr>
        <w:t>Elles</w:t>
      </w:r>
      <w:r w:rsidR="00B84008" w:rsidRPr="00F07170">
        <w:rPr>
          <w:lang w:val="fr-CA"/>
        </w:rPr>
        <w:t xml:space="preserve"> permettent aux </w:t>
      </w:r>
      <w:r w:rsidRPr="00F07170">
        <w:rPr>
          <w:lang w:val="fr-CA"/>
        </w:rPr>
        <w:t>personnes</w:t>
      </w:r>
      <w:r w:rsidR="00B84008" w:rsidRPr="00F07170">
        <w:rPr>
          <w:lang w:val="fr-CA"/>
        </w:rPr>
        <w:t xml:space="preserve"> de partager leurs pensées </w:t>
      </w:r>
      <w:r w:rsidR="00D06315" w:rsidRPr="00F07170">
        <w:rPr>
          <w:lang w:val="fr-CA"/>
        </w:rPr>
        <w:t>efficacement.</w:t>
      </w:r>
    </w:p>
    <w:p w14:paraId="696BD6A9" w14:textId="402DDDFF" w:rsidR="00B84008" w:rsidRPr="00F07170" w:rsidRDefault="00D06315" w:rsidP="00B84008">
      <w:pPr>
        <w:pStyle w:val="ListParagraph"/>
        <w:numPr>
          <w:ilvl w:val="0"/>
          <w:numId w:val="13"/>
        </w:numPr>
        <w:tabs>
          <w:tab w:val="left" w:pos="1940"/>
        </w:tabs>
        <w:rPr>
          <w:lang w:val="fr-CA"/>
        </w:rPr>
      </w:pPr>
      <w:r w:rsidRPr="00F07170">
        <w:rPr>
          <w:lang w:val="fr-CA"/>
        </w:rPr>
        <w:t>Elles</w:t>
      </w:r>
      <w:r w:rsidR="00B84008" w:rsidRPr="00F07170">
        <w:rPr>
          <w:lang w:val="fr-CA"/>
        </w:rPr>
        <w:t xml:space="preserve"> favorisent l</w:t>
      </w:r>
      <w:r w:rsidR="001407B6" w:rsidRPr="00F07170">
        <w:rPr>
          <w:lang w:val="fr-CA"/>
        </w:rPr>
        <w:t>’</w:t>
      </w:r>
      <w:r w:rsidR="00B84008" w:rsidRPr="00F07170">
        <w:rPr>
          <w:lang w:val="fr-CA"/>
        </w:rPr>
        <w:t>établissement de relations et la compréhension mutuelle, et réduisent les conflits interpersonnels.</w:t>
      </w:r>
    </w:p>
    <w:p w14:paraId="785579E7" w14:textId="1EE86685" w:rsidR="00413B02" w:rsidRPr="00F07170" w:rsidRDefault="00D06315" w:rsidP="00B84008">
      <w:pPr>
        <w:pStyle w:val="ListParagraph"/>
        <w:numPr>
          <w:ilvl w:val="0"/>
          <w:numId w:val="13"/>
        </w:numPr>
        <w:tabs>
          <w:tab w:val="left" w:pos="1940"/>
        </w:tabs>
        <w:rPr>
          <w:lang w:val="fr-CA"/>
        </w:rPr>
      </w:pPr>
      <w:r w:rsidRPr="00F07170">
        <w:rPr>
          <w:lang w:val="fr-CA"/>
        </w:rPr>
        <w:t>Elles permettent de</w:t>
      </w:r>
      <w:r w:rsidR="00B84008" w:rsidRPr="00F07170">
        <w:rPr>
          <w:lang w:val="fr-CA"/>
        </w:rPr>
        <w:t xml:space="preserve"> faire face à des situations difficiles, comme </w:t>
      </w:r>
      <w:r w:rsidRPr="00F07170">
        <w:rPr>
          <w:lang w:val="fr-CA"/>
        </w:rPr>
        <w:t>demander des mesures d’adaptation</w:t>
      </w:r>
      <w:r w:rsidR="00B84008" w:rsidRPr="00F07170">
        <w:rPr>
          <w:lang w:val="fr-CA"/>
        </w:rPr>
        <w:t>.</w:t>
      </w:r>
    </w:p>
    <w:p w14:paraId="20263B8D" w14:textId="6AB00C76" w:rsidR="00B84008" w:rsidRPr="00F07170" w:rsidRDefault="0070292C" w:rsidP="00B84008">
      <w:pPr>
        <w:rPr>
          <w:lang w:val="fr-CA"/>
        </w:rPr>
      </w:pPr>
      <w:r w:rsidRPr="00F07170">
        <w:rPr>
          <w:lang w:val="fr-CA"/>
        </w:rPr>
        <w:t>Il y a aussi d’autres compétences qui reposent sur l</w:t>
      </w:r>
      <w:r w:rsidR="00B84008" w:rsidRPr="00F07170">
        <w:rPr>
          <w:lang w:val="fr-CA"/>
        </w:rPr>
        <w:t>es compétences en communication</w:t>
      </w:r>
      <w:r w:rsidRPr="00F07170">
        <w:rPr>
          <w:lang w:val="fr-CA"/>
        </w:rPr>
        <w:t>. C’est notamment</w:t>
      </w:r>
      <w:r w:rsidR="00B84008" w:rsidRPr="00F07170">
        <w:rPr>
          <w:lang w:val="fr-CA"/>
        </w:rPr>
        <w:t xml:space="preserve"> </w:t>
      </w:r>
      <w:r w:rsidRPr="00F07170">
        <w:rPr>
          <w:lang w:val="fr-CA"/>
        </w:rPr>
        <w:t xml:space="preserve">le cas de </w:t>
      </w:r>
      <w:r w:rsidR="00B84008" w:rsidRPr="00F07170">
        <w:rPr>
          <w:lang w:val="fr-CA"/>
        </w:rPr>
        <w:t>la collaboration</w:t>
      </w:r>
      <w:r w:rsidRPr="00F07170">
        <w:rPr>
          <w:lang w:val="fr-CA"/>
        </w:rPr>
        <w:t>. U</w:t>
      </w:r>
      <w:r w:rsidR="00B84008" w:rsidRPr="00F07170">
        <w:rPr>
          <w:lang w:val="fr-CA"/>
        </w:rPr>
        <w:t xml:space="preserve">ne communication efficace et claire conduit à une meilleure collaboration et à des relations plus </w:t>
      </w:r>
      <w:r w:rsidRPr="00F07170">
        <w:rPr>
          <w:lang w:val="fr-CA"/>
        </w:rPr>
        <w:t>solides</w:t>
      </w:r>
      <w:r w:rsidR="00B84008" w:rsidRPr="00F07170">
        <w:rPr>
          <w:lang w:val="fr-CA"/>
        </w:rPr>
        <w:t xml:space="preserve">, </w:t>
      </w:r>
      <w:r w:rsidRPr="00F07170">
        <w:rPr>
          <w:lang w:val="fr-CA"/>
        </w:rPr>
        <w:t>alors que</w:t>
      </w:r>
      <w:r w:rsidR="00B84008" w:rsidRPr="00F07170">
        <w:rPr>
          <w:lang w:val="fr-CA"/>
        </w:rPr>
        <w:t xml:space="preserve"> les compétences de collaboration</w:t>
      </w:r>
      <w:r w:rsidRPr="00F07170">
        <w:rPr>
          <w:lang w:val="fr-CA"/>
        </w:rPr>
        <w:t>,</w:t>
      </w:r>
      <w:r w:rsidR="00B84008" w:rsidRPr="00F07170">
        <w:rPr>
          <w:lang w:val="fr-CA"/>
        </w:rPr>
        <w:t xml:space="preserve"> telles que le respect mutuel, l</w:t>
      </w:r>
      <w:r w:rsidR="001407B6" w:rsidRPr="00F07170">
        <w:rPr>
          <w:lang w:val="fr-CA"/>
        </w:rPr>
        <w:t>’</w:t>
      </w:r>
      <w:r w:rsidR="00B84008" w:rsidRPr="00F07170">
        <w:rPr>
          <w:lang w:val="fr-CA"/>
        </w:rPr>
        <w:t>empathie et une attitude inclusive</w:t>
      </w:r>
      <w:r w:rsidRPr="00F07170">
        <w:rPr>
          <w:lang w:val="fr-CA"/>
        </w:rPr>
        <w:t>,</w:t>
      </w:r>
      <w:r w:rsidR="00B84008" w:rsidRPr="00F07170">
        <w:rPr>
          <w:lang w:val="fr-CA"/>
        </w:rPr>
        <w:t xml:space="preserve"> créent un environnement propice à une communication ouverte. </w:t>
      </w:r>
      <w:r w:rsidRPr="00F07170">
        <w:rPr>
          <w:lang w:val="fr-CA"/>
        </w:rPr>
        <w:t>Ces compétences contribuent</w:t>
      </w:r>
      <w:r w:rsidR="00B84008" w:rsidRPr="00F07170">
        <w:rPr>
          <w:lang w:val="fr-CA"/>
        </w:rPr>
        <w:t xml:space="preserve"> également à la résolution de problèmes, en particulier au sein des équipes. Une communication efficace permet de résoudre les problèmes ensemble.</w:t>
      </w:r>
    </w:p>
    <w:p w14:paraId="7D8D615F" w14:textId="7B6061EA" w:rsidR="00B84008" w:rsidRPr="00F07170" w:rsidRDefault="00B84008" w:rsidP="00B84008">
      <w:pPr>
        <w:rPr>
          <w:lang w:val="fr-CA"/>
        </w:rPr>
      </w:pPr>
      <w:r w:rsidRPr="00F07170">
        <w:rPr>
          <w:lang w:val="fr-CA"/>
        </w:rPr>
        <w:t>Il est important d</w:t>
      </w:r>
      <w:r w:rsidR="0070292C" w:rsidRPr="00F07170">
        <w:rPr>
          <w:lang w:val="fr-CA"/>
        </w:rPr>
        <w:t xml:space="preserve">’avoir </w:t>
      </w:r>
      <w:r w:rsidRPr="00F07170">
        <w:rPr>
          <w:lang w:val="fr-CA"/>
        </w:rPr>
        <w:t xml:space="preserve">une bonne communication </w:t>
      </w:r>
      <w:r w:rsidR="0070292C" w:rsidRPr="00F07170">
        <w:rPr>
          <w:lang w:val="fr-CA"/>
        </w:rPr>
        <w:t>dans les deux sens</w:t>
      </w:r>
      <w:r w:rsidRPr="00F07170">
        <w:rPr>
          <w:lang w:val="fr-CA"/>
        </w:rPr>
        <w:t xml:space="preserve">. </w:t>
      </w:r>
      <w:r w:rsidR="0070292C" w:rsidRPr="00F07170">
        <w:rPr>
          <w:lang w:val="fr-CA"/>
        </w:rPr>
        <w:t>L</w:t>
      </w:r>
      <w:r w:rsidRPr="00F07170">
        <w:rPr>
          <w:lang w:val="fr-CA"/>
        </w:rPr>
        <w:t xml:space="preserve">es travailleurs </w:t>
      </w:r>
      <w:r w:rsidR="0070292C" w:rsidRPr="00F07170">
        <w:rPr>
          <w:lang w:val="fr-CA"/>
        </w:rPr>
        <w:t xml:space="preserve">et </w:t>
      </w:r>
      <w:r w:rsidRPr="00F07170">
        <w:rPr>
          <w:lang w:val="fr-CA"/>
        </w:rPr>
        <w:t>les employeurs ont</w:t>
      </w:r>
      <w:r w:rsidR="0070292C" w:rsidRPr="00F07170">
        <w:rPr>
          <w:lang w:val="fr-CA"/>
        </w:rPr>
        <w:t xml:space="preserve"> tous deux</w:t>
      </w:r>
      <w:r w:rsidRPr="00F07170">
        <w:rPr>
          <w:lang w:val="fr-CA"/>
        </w:rPr>
        <w:t xml:space="preserve"> un rôle à jouer dans l</w:t>
      </w:r>
      <w:r w:rsidR="001407B6" w:rsidRPr="00F07170">
        <w:rPr>
          <w:lang w:val="fr-CA"/>
        </w:rPr>
        <w:t>’</w:t>
      </w:r>
      <w:r w:rsidRPr="00F07170">
        <w:rPr>
          <w:lang w:val="fr-CA"/>
        </w:rPr>
        <w:t>écoute et le partage d</w:t>
      </w:r>
      <w:r w:rsidR="0070292C" w:rsidRPr="00F07170">
        <w:rPr>
          <w:lang w:val="fr-CA"/>
        </w:rPr>
        <w:t>e renseignements</w:t>
      </w:r>
      <w:r w:rsidRPr="00F07170">
        <w:rPr>
          <w:lang w:val="fr-CA"/>
        </w:rPr>
        <w:t xml:space="preserve">. Les employeurs ont la responsabilité de transmettre clairement les attentes et les instructions, de répondre efficacement aux questions et aux préoccupations, et de communiquer les changements de manière proactive. Si les travailleurs </w:t>
      </w:r>
      <w:r w:rsidR="0070292C" w:rsidRPr="00F07170">
        <w:rPr>
          <w:lang w:val="fr-CA"/>
        </w:rPr>
        <w:t xml:space="preserve">ont un handicap qui présente </w:t>
      </w:r>
      <w:r w:rsidRPr="00F07170">
        <w:rPr>
          <w:lang w:val="fr-CA"/>
        </w:rPr>
        <w:t xml:space="preserve">des obstacles à la communication </w:t>
      </w:r>
      <w:r w:rsidR="0070292C" w:rsidRPr="00F07170">
        <w:rPr>
          <w:lang w:val="fr-CA"/>
        </w:rPr>
        <w:t>–</w:t>
      </w:r>
      <w:r w:rsidRPr="00F07170">
        <w:rPr>
          <w:lang w:val="fr-CA"/>
        </w:rPr>
        <w:t xml:space="preserve"> comme un trouble de la parole, de l</w:t>
      </w:r>
      <w:r w:rsidR="001407B6" w:rsidRPr="00F07170">
        <w:rPr>
          <w:lang w:val="fr-CA"/>
        </w:rPr>
        <w:t>’</w:t>
      </w:r>
      <w:r w:rsidRPr="00F07170">
        <w:rPr>
          <w:lang w:val="fr-CA"/>
        </w:rPr>
        <w:t xml:space="preserve">anxiété ou des difficultés avec la communication non verbale </w:t>
      </w:r>
      <w:r w:rsidR="0070292C" w:rsidRPr="00F07170">
        <w:rPr>
          <w:lang w:val="fr-CA"/>
        </w:rPr>
        <w:t>–</w:t>
      </w:r>
      <w:r w:rsidRPr="00F07170">
        <w:rPr>
          <w:lang w:val="fr-CA"/>
        </w:rPr>
        <w:t xml:space="preserve"> l</w:t>
      </w:r>
      <w:r w:rsidR="0070292C" w:rsidRPr="00F07170">
        <w:rPr>
          <w:lang w:val="fr-CA"/>
        </w:rPr>
        <w:t>es employeurs doivent y être sensibilisés et bien comprendre ces obstacles</w:t>
      </w:r>
      <w:r w:rsidRPr="00F07170">
        <w:rPr>
          <w:lang w:val="fr-CA"/>
        </w:rPr>
        <w:t xml:space="preserve"> pour promouvoir l</w:t>
      </w:r>
      <w:r w:rsidR="001407B6" w:rsidRPr="00F07170">
        <w:rPr>
          <w:lang w:val="fr-CA"/>
        </w:rPr>
        <w:t>’</w:t>
      </w:r>
      <w:r w:rsidRPr="00F07170">
        <w:rPr>
          <w:lang w:val="fr-CA"/>
        </w:rPr>
        <w:t>appartenance et la compréhension mutuelle.</w:t>
      </w:r>
    </w:p>
    <w:p w14:paraId="414F0813" w14:textId="065224D7" w:rsidR="008501D5" w:rsidRPr="00F07170" w:rsidRDefault="00B84008" w:rsidP="00B84008">
      <w:pPr>
        <w:rPr>
          <w:lang w:val="fr-CA"/>
        </w:rPr>
      </w:pPr>
      <w:r w:rsidRPr="00F07170">
        <w:rPr>
          <w:lang w:val="fr-CA"/>
        </w:rPr>
        <w:lastRenderedPageBreak/>
        <w:t xml:space="preserve">De nombreux </w:t>
      </w:r>
      <w:r w:rsidR="0070292C" w:rsidRPr="00F07170">
        <w:rPr>
          <w:lang w:val="fr-CA"/>
        </w:rPr>
        <w:t>demandeurs d’emploi en situation de handicap</w:t>
      </w:r>
      <w:r w:rsidRPr="00F07170">
        <w:rPr>
          <w:lang w:val="fr-CA"/>
        </w:rPr>
        <w:t xml:space="preserve"> ont </w:t>
      </w:r>
      <w:r w:rsidR="00CA143E" w:rsidRPr="00F07170">
        <w:rPr>
          <w:lang w:val="fr-CA"/>
        </w:rPr>
        <w:t>indiqué</w:t>
      </w:r>
      <w:r w:rsidRPr="00F07170">
        <w:rPr>
          <w:lang w:val="fr-CA"/>
        </w:rPr>
        <w:t xml:space="preserve"> que la communication était l</w:t>
      </w:r>
      <w:r w:rsidR="001407B6" w:rsidRPr="00F07170">
        <w:rPr>
          <w:lang w:val="fr-CA"/>
        </w:rPr>
        <w:t>’</w:t>
      </w:r>
      <w:r w:rsidRPr="00F07170">
        <w:rPr>
          <w:lang w:val="fr-CA"/>
        </w:rPr>
        <w:t xml:space="preserve">une de leurs meilleures compétences. </w:t>
      </w:r>
      <w:r w:rsidR="00CA143E" w:rsidRPr="00F07170">
        <w:rPr>
          <w:lang w:val="fr-CA"/>
        </w:rPr>
        <w:t xml:space="preserve">Mais n’empêche que </w:t>
      </w:r>
      <w:r w:rsidRPr="00F07170">
        <w:rPr>
          <w:lang w:val="fr-CA"/>
        </w:rPr>
        <w:t>presque tous les participants souhaitaient améliorer ces compétences. Nous avons appris qu</w:t>
      </w:r>
      <w:r w:rsidR="001407B6" w:rsidRPr="00F07170">
        <w:rPr>
          <w:lang w:val="fr-CA"/>
        </w:rPr>
        <w:t>’</w:t>
      </w:r>
      <w:r w:rsidRPr="00F07170">
        <w:rPr>
          <w:lang w:val="fr-CA"/>
        </w:rPr>
        <w:t xml:space="preserve">il y a toujours </w:t>
      </w:r>
      <w:r w:rsidR="00CA143E" w:rsidRPr="00F07170">
        <w:rPr>
          <w:lang w:val="fr-CA"/>
        </w:rPr>
        <w:t>place à l’amélioration</w:t>
      </w:r>
      <w:r w:rsidRPr="00F07170">
        <w:rPr>
          <w:lang w:val="fr-CA"/>
        </w:rPr>
        <w:t xml:space="preserve">, même pour les personnes </w:t>
      </w:r>
      <w:r w:rsidR="00CA143E" w:rsidRPr="00F07170">
        <w:rPr>
          <w:lang w:val="fr-CA"/>
        </w:rPr>
        <w:t>qui ont</w:t>
      </w:r>
      <w:r w:rsidRPr="00F07170">
        <w:rPr>
          <w:lang w:val="fr-CA"/>
        </w:rPr>
        <w:t xml:space="preserve"> de bonnes compétences en communication. L</w:t>
      </w:r>
      <w:r w:rsidR="00CA143E" w:rsidRPr="00F07170">
        <w:rPr>
          <w:lang w:val="fr-CA"/>
        </w:rPr>
        <w:t>a rédaction</w:t>
      </w:r>
      <w:r w:rsidRPr="00F07170">
        <w:rPr>
          <w:lang w:val="fr-CA"/>
        </w:rPr>
        <w:t>, l</w:t>
      </w:r>
      <w:r w:rsidR="001407B6" w:rsidRPr="00F07170">
        <w:rPr>
          <w:lang w:val="fr-CA"/>
        </w:rPr>
        <w:t>’</w:t>
      </w:r>
      <w:r w:rsidRPr="00F07170">
        <w:rPr>
          <w:lang w:val="fr-CA"/>
        </w:rPr>
        <w:t xml:space="preserve">expression orale et le langage corporel sont </w:t>
      </w:r>
      <w:r w:rsidR="00CA143E" w:rsidRPr="00F07170">
        <w:rPr>
          <w:lang w:val="fr-CA"/>
        </w:rPr>
        <w:t>trois</w:t>
      </w:r>
      <w:r w:rsidRPr="00F07170">
        <w:rPr>
          <w:lang w:val="fr-CA"/>
        </w:rPr>
        <w:t xml:space="preserve"> aspects distincts et importants de la communication</w:t>
      </w:r>
      <w:r w:rsidR="00CA143E" w:rsidRPr="00F07170">
        <w:rPr>
          <w:lang w:val="fr-CA"/>
        </w:rPr>
        <w:t>. Le</w:t>
      </w:r>
      <w:r w:rsidRPr="00F07170">
        <w:rPr>
          <w:lang w:val="fr-CA"/>
        </w:rPr>
        <w:t xml:space="preserve"> </w:t>
      </w:r>
      <w:r w:rsidR="00CA143E" w:rsidRPr="00F07170">
        <w:rPr>
          <w:lang w:val="fr-CA"/>
        </w:rPr>
        <w:t>perfectionnement dans</w:t>
      </w:r>
      <w:r w:rsidRPr="00F07170">
        <w:rPr>
          <w:lang w:val="fr-CA"/>
        </w:rPr>
        <w:t xml:space="preserve"> chacun de ces domaines favorise une meilleure collaboration et une résolution plus efficace des problèmes en équipe. Les apprenants avancés peuvent également développer leurs compétences en communication dans des domaines </w:t>
      </w:r>
      <w:r w:rsidR="00CA143E" w:rsidRPr="00F07170">
        <w:rPr>
          <w:lang w:val="fr-CA"/>
        </w:rPr>
        <w:t xml:space="preserve">plus </w:t>
      </w:r>
      <w:r w:rsidRPr="00F07170">
        <w:rPr>
          <w:lang w:val="fr-CA"/>
        </w:rPr>
        <w:t>spécialisés, tels que la rédaction technique, la prise de parole en public, la négociation ou la médiation des conflits.</w:t>
      </w:r>
    </w:p>
    <w:p w14:paraId="67A21967" w14:textId="77777777" w:rsidR="008501D5" w:rsidRPr="00F07170" w:rsidRDefault="008501D5">
      <w:pPr>
        <w:rPr>
          <w:lang w:val="fr-CA"/>
        </w:rPr>
      </w:pPr>
      <w:r w:rsidRPr="00F07170">
        <w:rPr>
          <w:lang w:val="fr-CA"/>
        </w:rPr>
        <w:br w:type="page"/>
      </w:r>
    </w:p>
    <w:p w14:paraId="609C32B3" w14:textId="44C60920" w:rsidR="00F9462C" w:rsidRPr="00F07170" w:rsidRDefault="00CA143E" w:rsidP="00B84008">
      <w:pPr>
        <w:pStyle w:val="Heading2"/>
        <w:rPr>
          <w:lang w:val="fr-CA"/>
        </w:rPr>
      </w:pPr>
      <w:bookmarkStart w:id="6" w:name="_Toc191281431"/>
      <w:r w:rsidRPr="00F07170">
        <w:rPr>
          <w:lang w:val="fr-CA"/>
        </w:rPr>
        <w:lastRenderedPageBreak/>
        <w:t>Perception</w:t>
      </w:r>
      <w:r w:rsidR="00150060" w:rsidRPr="00F07170">
        <w:rPr>
          <w:lang w:val="fr-CA"/>
        </w:rPr>
        <w:t xml:space="preserve"> 2 : </w:t>
      </w:r>
      <w:r w:rsidR="00152B5E" w:rsidRPr="00F07170">
        <w:rPr>
          <w:lang w:val="fr-CA"/>
        </w:rPr>
        <w:t xml:space="preserve">Les travailleurs </w:t>
      </w:r>
      <w:r w:rsidRPr="00F07170">
        <w:rPr>
          <w:lang w:val="fr-CA"/>
        </w:rPr>
        <w:t xml:space="preserve">en situation de </w:t>
      </w:r>
      <w:r w:rsidR="00152B5E" w:rsidRPr="00F07170">
        <w:rPr>
          <w:lang w:val="fr-CA"/>
        </w:rPr>
        <w:t xml:space="preserve">handicap </w:t>
      </w:r>
      <w:r w:rsidRPr="00F07170">
        <w:rPr>
          <w:lang w:val="fr-CA"/>
        </w:rPr>
        <w:t>apportent diverses forces dans le milieu</w:t>
      </w:r>
      <w:r w:rsidR="000E5758" w:rsidRPr="00F07170">
        <w:rPr>
          <w:lang w:val="fr-CA"/>
        </w:rPr>
        <w:t xml:space="preserve"> de travail.</w:t>
      </w:r>
      <w:bookmarkEnd w:id="6"/>
    </w:p>
    <w:p w14:paraId="2952D416" w14:textId="699D6973" w:rsidR="00997E98" w:rsidRPr="00F07170" w:rsidRDefault="00997E98" w:rsidP="00997E98">
      <w:pPr>
        <w:rPr>
          <w:lang w:val="fr-CA"/>
        </w:rPr>
      </w:pPr>
      <w:r w:rsidRPr="00F07170">
        <w:rPr>
          <w:lang w:val="fr-CA"/>
        </w:rPr>
        <w:t>Les demandeurs d</w:t>
      </w:r>
      <w:r w:rsidR="001407B6" w:rsidRPr="00F07170">
        <w:rPr>
          <w:lang w:val="fr-CA"/>
        </w:rPr>
        <w:t>’</w:t>
      </w:r>
      <w:r w:rsidRPr="00F07170">
        <w:rPr>
          <w:lang w:val="fr-CA"/>
        </w:rPr>
        <w:t xml:space="preserve">emploi, les </w:t>
      </w:r>
      <w:r w:rsidR="00CA143E" w:rsidRPr="00F07170">
        <w:rPr>
          <w:lang w:val="fr-CA"/>
        </w:rPr>
        <w:t>fournisseurs</w:t>
      </w:r>
      <w:r w:rsidRPr="00F07170">
        <w:rPr>
          <w:lang w:val="fr-CA"/>
        </w:rPr>
        <w:t xml:space="preserve"> de services et les employeurs nous ont fait part d</w:t>
      </w:r>
      <w:r w:rsidR="00CA143E" w:rsidRPr="00F07170">
        <w:rPr>
          <w:lang w:val="fr-CA"/>
        </w:rPr>
        <w:t>e nombreux</w:t>
      </w:r>
      <w:r w:rsidRPr="00F07170">
        <w:rPr>
          <w:lang w:val="fr-CA"/>
        </w:rPr>
        <w:t xml:space="preserve"> points forts que les travailleurs </w:t>
      </w:r>
      <w:r w:rsidR="00CA143E" w:rsidRPr="00F07170">
        <w:rPr>
          <w:lang w:val="fr-CA"/>
        </w:rPr>
        <w:t xml:space="preserve">en situation de </w:t>
      </w:r>
      <w:r w:rsidRPr="00F07170">
        <w:rPr>
          <w:lang w:val="fr-CA"/>
        </w:rPr>
        <w:t xml:space="preserve">handicap apportent </w:t>
      </w:r>
      <w:r w:rsidR="00CA143E" w:rsidRPr="00F07170">
        <w:rPr>
          <w:lang w:val="fr-CA"/>
        </w:rPr>
        <w:t>dans le mi</w:t>
      </w:r>
      <w:r w:rsidRPr="00F07170">
        <w:rPr>
          <w:lang w:val="fr-CA"/>
        </w:rPr>
        <w:t>lieu de travail.</w:t>
      </w:r>
    </w:p>
    <w:p w14:paraId="54FACACA" w14:textId="2A43D80B" w:rsidR="008E0969" w:rsidRPr="00F07170" w:rsidRDefault="00CA143E" w:rsidP="00997E98">
      <w:pPr>
        <w:rPr>
          <w:lang w:val="fr-CA"/>
        </w:rPr>
      </w:pPr>
      <w:r w:rsidRPr="00F07170">
        <w:rPr>
          <w:lang w:val="fr-CA"/>
        </w:rPr>
        <w:t xml:space="preserve">Comme l’ont démontré </w:t>
      </w:r>
      <w:r w:rsidR="009642FA" w:rsidRPr="00F07170">
        <w:rPr>
          <w:lang w:val="fr-CA"/>
        </w:rPr>
        <w:t>d</w:t>
      </w:r>
      <w:r w:rsidR="001407B6" w:rsidRPr="00F07170">
        <w:rPr>
          <w:lang w:val="fr-CA"/>
        </w:rPr>
        <w:t>’</w:t>
      </w:r>
      <w:r w:rsidR="009642FA" w:rsidRPr="00F07170">
        <w:rPr>
          <w:lang w:val="fr-CA"/>
        </w:rPr>
        <w:t>autres recherches,</w:t>
      </w:r>
      <w:r w:rsidR="009642FA" w:rsidRPr="00F07170">
        <w:rPr>
          <w:rStyle w:val="EndnoteReference"/>
        </w:rPr>
        <w:endnoteReference w:id="3"/>
      </w:r>
      <w:r w:rsidR="009642FA" w:rsidRPr="00F07170">
        <w:rPr>
          <w:lang w:val="fr-CA"/>
        </w:rPr>
        <w:t xml:space="preserve"> vivre avec un handicap peut </w:t>
      </w:r>
      <w:r w:rsidR="00221038" w:rsidRPr="00F07170">
        <w:rPr>
          <w:lang w:val="fr-CA"/>
        </w:rPr>
        <w:t>vouloir dire</w:t>
      </w:r>
      <w:r w:rsidR="009642FA" w:rsidRPr="00F07170">
        <w:rPr>
          <w:lang w:val="fr-CA"/>
        </w:rPr>
        <w:t xml:space="preserve"> utiliser dive</w:t>
      </w:r>
      <w:r w:rsidR="008E0969" w:rsidRPr="00F07170">
        <w:rPr>
          <w:lang w:val="fr-CA"/>
        </w:rPr>
        <w:t>rses compétences transférables « </w:t>
      </w:r>
      <w:r w:rsidR="009642FA" w:rsidRPr="00F07170">
        <w:rPr>
          <w:lang w:val="fr-CA"/>
        </w:rPr>
        <w:t>tout au long de la journée</w:t>
      </w:r>
      <w:r w:rsidR="008E0969" w:rsidRPr="00F07170">
        <w:rPr>
          <w:lang w:val="fr-CA"/>
        </w:rPr>
        <w:t> » pour relever les défis, et « </w:t>
      </w:r>
      <w:r w:rsidR="009642FA" w:rsidRPr="00F07170">
        <w:rPr>
          <w:lang w:val="fr-CA"/>
        </w:rPr>
        <w:t>voir les choses différemment</w:t>
      </w:r>
      <w:r w:rsidR="008E0969" w:rsidRPr="00F07170">
        <w:rPr>
          <w:lang w:val="fr-CA"/>
        </w:rPr>
        <w:t> »</w:t>
      </w:r>
      <w:r w:rsidR="009642FA" w:rsidRPr="00F07170">
        <w:rPr>
          <w:lang w:val="fr-CA"/>
        </w:rPr>
        <w:t xml:space="preserve"> (</w:t>
      </w:r>
      <w:r w:rsidR="008E0969" w:rsidRPr="00F07170">
        <w:rPr>
          <w:lang w:val="fr-CA"/>
        </w:rPr>
        <w:t>pour citer</w:t>
      </w:r>
      <w:r w:rsidR="009642FA" w:rsidRPr="00F07170">
        <w:rPr>
          <w:lang w:val="fr-CA"/>
        </w:rPr>
        <w:t xml:space="preserve"> nos participants). De nombreux </w:t>
      </w:r>
      <w:r w:rsidR="008E0969" w:rsidRPr="00F07170">
        <w:rPr>
          <w:lang w:val="fr-CA"/>
        </w:rPr>
        <w:t>travailleurs en situation de handicap</w:t>
      </w:r>
      <w:r w:rsidR="009642FA" w:rsidRPr="00F07170">
        <w:rPr>
          <w:lang w:val="fr-CA"/>
        </w:rPr>
        <w:t xml:space="preserve"> ont passé des années, voire toute une vie, à naviguer dans un monde inaccessible et ont développé des compétences et des stratégies importantes </w:t>
      </w:r>
      <w:r w:rsidR="008E0969" w:rsidRPr="00F07170">
        <w:rPr>
          <w:lang w:val="fr-CA"/>
        </w:rPr>
        <w:t>en cours de route</w:t>
      </w:r>
      <w:r w:rsidR="009642FA" w:rsidRPr="00F07170">
        <w:rPr>
          <w:lang w:val="fr-CA"/>
        </w:rPr>
        <w:t>. Pour les participants à</w:t>
      </w:r>
      <w:r w:rsidR="008E0969" w:rsidRPr="00F07170">
        <w:rPr>
          <w:lang w:val="fr-CA"/>
        </w:rPr>
        <w:t xml:space="preserve"> la recherche</w:t>
      </w:r>
      <w:r w:rsidR="009642FA" w:rsidRPr="00F07170">
        <w:rPr>
          <w:lang w:val="fr-CA"/>
        </w:rPr>
        <w:t xml:space="preserve"> STEAM, il s</w:t>
      </w:r>
      <w:r w:rsidR="001407B6" w:rsidRPr="00F07170">
        <w:rPr>
          <w:lang w:val="fr-CA"/>
        </w:rPr>
        <w:t>’</w:t>
      </w:r>
      <w:r w:rsidR="009642FA" w:rsidRPr="00F07170">
        <w:rPr>
          <w:lang w:val="fr-CA"/>
        </w:rPr>
        <w:t>agit notamment de la résilience, de la pensée latérale et de nombreuses autres co</w:t>
      </w:r>
      <w:r w:rsidR="008E0969" w:rsidRPr="00F07170">
        <w:rPr>
          <w:lang w:val="fr-CA"/>
        </w:rPr>
        <w:t>mpétences transférables.</w:t>
      </w:r>
    </w:p>
    <w:p w14:paraId="15F74EA8" w14:textId="2F3404F3" w:rsidR="000C619B" w:rsidRPr="00296DC6" w:rsidRDefault="008E0969" w:rsidP="00296DC6">
      <w:pPr>
        <w:rPr>
          <w:lang w:val="fr-CA"/>
        </w:rPr>
      </w:pPr>
      <w:r w:rsidRPr="00F07170">
        <w:rPr>
          <w:lang w:val="fr-CA"/>
        </w:rPr>
        <w:t>Sur une échelle de 1 (très faible) à 5 (très élevée)</w:t>
      </w:r>
      <w:r w:rsidR="009642FA" w:rsidRPr="00F07170">
        <w:rPr>
          <w:lang w:val="fr-CA"/>
        </w:rPr>
        <w:t>, les demandeurs d</w:t>
      </w:r>
      <w:r w:rsidR="001407B6" w:rsidRPr="00F07170">
        <w:rPr>
          <w:lang w:val="fr-CA"/>
        </w:rPr>
        <w:t>’</w:t>
      </w:r>
      <w:r w:rsidR="009642FA" w:rsidRPr="00F07170">
        <w:rPr>
          <w:lang w:val="fr-CA"/>
        </w:rPr>
        <w:t xml:space="preserve">emploi ont évalué leur confiance </w:t>
      </w:r>
      <w:r w:rsidRPr="00F07170">
        <w:rPr>
          <w:lang w:val="fr-CA"/>
        </w:rPr>
        <w:t>à utiliser</w:t>
      </w:r>
      <w:r w:rsidR="009642FA" w:rsidRPr="00F07170">
        <w:rPr>
          <w:lang w:val="fr-CA"/>
        </w:rPr>
        <w:t xml:space="preserve"> leurs compétences transférables </w:t>
      </w:r>
      <w:r w:rsidRPr="00F07170">
        <w:rPr>
          <w:lang w:val="fr-CA"/>
        </w:rPr>
        <w:t>en milieu</w:t>
      </w:r>
      <w:r w:rsidR="009642FA" w:rsidRPr="00F07170">
        <w:rPr>
          <w:lang w:val="fr-CA"/>
        </w:rPr>
        <w:t xml:space="preserve"> de travail</w:t>
      </w:r>
      <w:r w:rsidRPr="00F07170">
        <w:rPr>
          <w:lang w:val="fr-CA"/>
        </w:rPr>
        <w:t xml:space="preserve"> après avoir </w:t>
      </w:r>
      <w:r w:rsidR="00221038" w:rsidRPr="00F07170">
        <w:rPr>
          <w:lang w:val="fr-CA"/>
        </w:rPr>
        <w:t>reçu des</w:t>
      </w:r>
      <w:r w:rsidR="007E262B" w:rsidRPr="00F07170">
        <w:rPr>
          <w:lang w:val="fr-CA"/>
        </w:rPr>
        <w:t xml:space="preserve"> services</w:t>
      </w:r>
      <w:r w:rsidR="00221038" w:rsidRPr="00F07170">
        <w:rPr>
          <w:lang w:val="fr-CA"/>
        </w:rPr>
        <w:t xml:space="preserve"> d’accompagnement</w:t>
      </w:r>
      <w:r w:rsidRPr="00F07170">
        <w:rPr>
          <w:lang w:val="fr-CA"/>
        </w:rPr>
        <w:t>.</w:t>
      </w:r>
    </w:p>
    <w:p w14:paraId="2AA966DC" w14:textId="6CE85E44" w:rsidR="00B96C7D" w:rsidRPr="00F07170" w:rsidRDefault="00B96C7D" w:rsidP="00AF3565">
      <w:pPr>
        <w:jc w:val="center"/>
      </w:pPr>
      <w:r>
        <w:rPr>
          <w:noProof/>
        </w:rPr>
        <w:drawing>
          <wp:inline distT="0" distB="0" distL="0" distR="0" wp14:anchorId="29754333" wp14:editId="6DB83D41">
            <wp:extent cx="5636260" cy="2606722"/>
            <wp:effectExtent l="0" t="0" r="2540" b="3175"/>
            <wp:docPr id="6466405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0F425A" w14:textId="58CB8071" w:rsidR="008E0969" w:rsidRPr="00F07170" w:rsidRDefault="00803F9A" w:rsidP="008E0969">
      <w:pPr>
        <w:rPr>
          <w:lang w:val="fr-CA"/>
        </w:rPr>
      </w:pPr>
      <w:r w:rsidRPr="00F07170">
        <w:rPr>
          <w:lang w:val="fr-CA"/>
        </w:rPr>
        <w:t xml:space="preserve">Description : </w:t>
      </w:r>
      <w:r w:rsidR="008E0969" w:rsidRPr="00F07170">
        <w:rPr>
          <w:lang w:val="fr-CA"/>
        </w:rPr>
        <w:t>Un graphique à colonnes intitulé « </w:t>
      </w:r>
      <w:r w:rsidR="001D0303" w:rsidRPr="00F07170">
        <w:rPr>
          <w:lang w:val="fr-CA"/>
        </w:rPr>
        <w:t>Confiance</w:t>
      </w:r>
      <w:r w:rsidR="008E0969" w:rsidRPr="00F07170">
        <w:rPr>
          <w:lang w:val="fr-CA"/>
        </w:rPr>
        <w:t> »</w:t>
      </w:r>
      <w:r w:rsidR="001D0303" w:rsidRPr="00F07170">
        <w:rPr>
          <w:lang w:val="fr-CA"/>
        </w:rPr>
        <w:t xml:space="preserve"> </w:t>
      </w:r>
      <w:r w:rsidR="008E0969" w:rsidRPr="00F07170">
        <w:rPr>
          <w:lang w:val="fr-CA"/>
        </w:rPr>
        <w:t>présente les notes moyennes des</w:t>
      </w:r>
      <w:r w:rsidR="009D0445" w:rsidRPr="00F07170">
        <w:rPr>
          <w:lang w:val="fr-CA"/>
        </w:rPr>
        <w:t xml:space="preserve"> </w:t>
      </w:r>
      <w:r w:rsidR="008E0969" w:rsidRPr="00F07170">
        <w:rPr>
          <w:lang w:val="fr-CA"/>
        </w:rPr>
        <w:t xml:space="preserve">demandeurs d’emploi </w:t>
      </w:r>
      <w:r w:rsidR="001D0303" w:rsidRPr="00F07170">
        <w:rPr>
          <w:lang w:val="fr-CA"/>
        </w:rPr>
        <w:t xml:space="preserve">quant à leur degré de confiance </w:t>
      </w:r>
      <w:r w:rsidR="008E0969" w:rsidRPr="00F07170">
        <w:rPr>
          <w:lang w:val="fr-CA"/>
        </w:rPr>
        <w:t>à utiliser</w:t>
      </w:r>
      <w:r w:rsidR="001D0303" w:rsidRPr="00F07170">
        <w:rPr>
          <w:lang w:val="fr-CA"/>
        </w:rPr>
        <w:t xml:space="preserve"> chaque ensemble de compétences </w:t>
      </w:r>
      <w:r w:rsidR="007E262B" w:rsidRPr="00F07170">
        <w:rPr>
          <w:lang w:val="fr-CA"/>
        </w:rPr>
        <w:t>dans le mi</w:t>
      </w:r>
      <w:r w:rsidR="001D0303" w:rsidRPr="00F07170">
        <w:rPr>
          <w:lang w:val="fr-CA"/>
        </w:rPr>
        <w:t xml:space="preserve">lieu de travail </w:t>
      </w:r>
      <w:r w:rsidR="006E6017" w:rsidRPr="00F07170">
        <w:rPr>
          <w:lang w:val="fr-CA"/>
        </w:rPr>
        <w:t>après avoir reçu des services d’accompagnement</w:t>
      </w:r>
      <w:r w:rsidR="001D0303" w:rsidRPr="00F07170">
        <w:rPr>
          <w:lang w:val="fr-CA"/>
        </w:rPr>
        <w:t>. L</w:t>
      </w:r>
      <w:r w:rsidR="001407B6" w:rsidRPr="00F07170">
        <w:rPr>
          <w:lang w:val="fr-CA"/>
        </w:rPr>
        <w:t>’</w:t>
      </w:r>
      <w:r w:rsidR="001D0303" w:rsidRPr="00F07170">
        <w:rPr>
          <w:lang w:val="fr-CA"/>
        </w:rPr>
        <w:t xml:space="preserve">axe des x indique les cinq compétences : </w:t>
      </w:r>
      <w:r w:rsidR="007E262B" w:rsidRPr="00F07170">
        <w:rPr>
          <w:lang w:val="fr-CA"/>
        </w:rPr>
        <w:t>l’adaptabilité, la collaboration, la communication, la créativité et l’innovation, et la résolution de problèmes</w:t>
      </w:r>
      <w:r w:rsidR="001D0303" w:rsidRPr="00F07170">
        <w:rPr>
          <w:lang w:val="fr-CA"/>
        </w:rPr>
        <w:t>. L</w:t>
      </w:r>
      <w:r w:rsidR="001407B6" w:rsidRPr="00F07170">
        <w:rPr>
          <w:lang w:val="fr-CA"/>
        </w:rPr>
        <w:t>’</w:t>
      </w:r>
      <w:r w:rsidR="001D0303" w:rsidRPr="00F07170">
        <w:rPr>
          <w:lang w:val="fr-CA"/>
        </w:rPr>
        <w:t xml:space="preserve">axe des y </w:t>
      </w:r>
      <w:r w:rsidR="007E262B" w:rsidRPr="00F07170">
        <w:rPr>
          <w:lang w:val="fr-CA"/>
        </w:rPr>
        <w:t>affiche les choix de réponse, soit</w:t>
      </w:r>
      <w:r w:rsidR="001D0303" w:rsidRPr="00F07170">
        <w:rPr>
          <w:lang w:val="fr-CA"/>
        </w:rPr>
        <w:t xml:space="preserve"> de 1 (</w:t>
      </w:r>
      <w:r w:rsidR="00907C3D" w:rsidRPr="00F07170">
        <w:rPr>
          <w:lang w:val="fr-CA"/>
        </w:rPr>
        <w:t>confiance très faible</w:t>
      </w:r>
      <w:r w:rsidR="001D0303" w:rsidRPr="00F07170">
        <w:rPr>
          <w:lang w:val="fr-CA"/>
        </w:rPr>
        <w:t>) à 5 (</w:t>
      </w:r>
      <w:r w:rsidR="00907C3D" w:rsidRPr="00F07170">
        <w:rPr>
          <w:lang w:val="fr-CA"/>
        </w:rPr>
        <w:t xml:space="preserve">confiance </w:t>
      </w:r>
      <w:r w:rsidR="001D0303" w:rsidRPr="00F07170">
        <w:rPr>
          <w:lang w:val="fr-CA"/>
        </w:rPr>
        <w:t xml:space="preserve">très </w:t>
      </w:r>
      <w:r w:rsidR="00907C3D" w:rsidRPr="00F07170">
        <w:rPr>
          <w:lang w:val="fr-CA"/>
        </w:rPr>
        <w:t>élevée</w:t>
      </w:r>
      <w:r w:rsidR="001D0303" w:rsidRPr="00F07170">
        <w:rPr>
          <w:lang w:val="fr-CA"/>
        </w:rPr>
        <w:t>). Ce graphique montre qu</w:t>
      </w:r>
      <w:r w:rsidR="007E262B" w:rsidRPr="00F07170">
        <w:rPr>
          <w:lang w:val="fr-CA"/>
        </w:rPr>
        <w:t xml:space="preserve">’en </w:t>
      </w:r>
      <w:r w:rsidR="00907C3D" w:rsidRPr="00F07170">
        <w:rPr>
          <w:lang w:val="fr-CA"/>
        </w:rPr>
        <w:t>moyenne</w:t>
      </w:r>
      <w:r w:rsidR="007E262B" w:rsidRPr="00F07170">
        <w:rPr>
          <w:lang w:val="fr-CA"/>
        </w:rPr>
        <w:t xml:space="preserve">, les demandeurs d’emploi accordent la note de 3,7 </w:t>
      </w:r>
      <w:r w:rsidR="007E74AC" w:rsidRPr="00F07170">
        <w:rPr>
          <w:lang w:val="fr-CA"/>
        </w:rPr>
        <w:t>pour l</w:t>
      </w:r>
      <w:r w:rsidR="001407B6" w:rsidRPr="00F07170">
        <w:rPr>
          <w:lang w:val="fr-CA"/>
        </w:rPr>
        <w:t>’</w:t>
      </w:r>
      <w:r w:rsidR="007E74AC" w:rsidRPr="00F07170">
        <w:rPr>
          <w:lang w:val="fr-CA"/>
        </w:rPr>
        <w:t>adaptabilité</w:t>
      </w:r>
      <w:r w:rsidR="007E262B" w:rsidRPr="00F07170">
        <w:rPr>
          <w:lang w:val="fr-CA"/>
        </w:rPr>
        <w:t xml:space="preserve">, alors qu’ils accordent la note de 3,8 pour les quatre autres compétences, soit </w:t>
      </w:r>
      <w:r w:rsidR="007E74AC" w:rsidRPr="00F07170">
        <w:rPr>
          <w:lang w:val="fr-CA"/>
        </w:rPr>
        <w:t>la collaboration, la communication, la créativité et l</w:t>
      </w:r>
      <w:r w:rsidR="001407B6" w:rsidRPr="00F07170">
        <w:rPr>
          <w:lang w:val="fr-CA"/>
        </w:rPr>
        <w:t>’</w:t>
      </w:r>
      <w:r w:rsidR="007E74AC" w:rsidRPr="00F07170">
        <w:rPr>
          <w:lang w:val="fr-CA"/>
        </w:rPr>
        <w:t xml:space="preserve">innovation, et la résolution de problèmes. </w:t>
      </w:r>
      <w:r w:rsidR="007E262B" w:rsidRPr="00F07170">
        <w:rPr>
          <w:lang w:val="fr-CA"/>
        </w:rPr>
        <w:t>L</w:t>
      </w:r>
      <w:r w:rsidR="007E74AC" w:rsidRPr="00F07170">
        <w:rPr>
          <w:lang w:val="fr-CA"/>
        </w:rPr>
        <w:t xml:space="preserve">es participants </w:t>
      </w:r>
      <w:r w:rsidR="009D0445" w:rsidRPr="00F07170">
        <w:rPr>
          <w:lang w:val="fr-CA"/>
        </w:rPr>
        <w:t xml:space="preserve">attribuent </w:t>
      </w:r>
      <w:r w:rsidR="007E262B" w:rsidRPr="00F07170">
        <w:rPr>
          <w:lang w:val="fr-CA"/>
        </w:rPr>
        <w:t xml:space="preserve">donc </w:t>
      </w:r>
      <w:r w:rsidR="009D0445" w:rsidRPr="00F07170">
        <w:rPr>
          <w:lang w:val="fr-CA"/>
        </w:rPr>
        <w:t>une confiance semblable</w:t>
      </w:r>
      <w:r w:rsidR="007E74AC" w:rsidRPr="00F07170">
        <w:rPr>
          <w:lang w:val="fr-CA"/>
        </w:rPr>
        <w:t xml:space="preserve"> dans l</w:t>
      </w:r>
      <w:r w:rsidR="001407B6" w:rsidRPr="00F07170">
        <w:rPr>
          <w:lang w:val="fr-CA"/>
        </w:rPr>
        <w:t>’</w:t>
      </w:r>
      <w:r w:rsidR="007E74AC" w:rsidRPr="00F07170">
        <w:rPr>
          <w:lang w:val="fr-CA"/>
        </w:rPr>
        <w:t>utilisation de chacune des compétences</w:t>
      </w:r>
      <w:r w:rsidR="00EA7C03" w:rsidRPr="00F07170">
        <w:rPr>
          <w:lang w:val="fr-CA"/>
        </w:rPr>
        <w:t xml:space="preserve">, </w:t>
      </w:r>
      <w:r w:rsidR="009D0445" w:rsidRPr="00F07170">
        <w:rPr>
          <w:lang w:val="fr-CA"/>
        </w:rPr>
        <w:t xml:space="preserve">sauf pour </w:t>
      </w:r>
      <w:r w:rsidR="00EA7C03" w:rsidRPr="00F07170">
        <w:rPr>
          <w:lang w:val="fr-CA"/>
        </w:rPr>
        <w:t>les compétences d</w:t>
      </w:r>
      <w:r w:rsidR="001407B6" w:rsidRPr="00F07170">
        <w:rPr>
          <w:lang w:val="fr-CA"/>
        </w:rPr>
        <w:t>’</w:t>
      </w:r>
      <w:r w:rsidR="00EA7C03" w:rsidRPr="00F07170">
        <w:rPr>
          <w:lang w:val="fr-CA"/>
        </w:rPr>
        <w:t xml:space="preserve">adaptabilité </w:t>
      </w:r>
      <w:r w:rsidR="009D0445" w:rsidRPr="00F07170">
        <w:rPr>
          <w:lang w:val="fr-CA"/>
        </w:rPr>
        <w:t>qui sont</w:t>
      </w:r>
      <w:r w:rsidR="00EA7C03" w:rsidRPr="00F07170">
        <w:rPr>
          <w:lang w:val="fr-CA"/>
        </w:rPr>
        <w:t xml:space="preserve"> légèrement inférieures.</w:t>
      </w:r>
    </w:p>
    <w:p w14:paraId="29E02037" w14:textId="1AC8FEF7" w:rsidR="00EC36F6" w:rsidRPr="00F07170" w:rsidRDefault="00EC36F6" w:rsidP="003F1DBC">
      <w:pPr>
        <w:rPr>
          <w:lang w:val="fr-CA"/>
        </w:rPr>
      </w:pPr>
      <w:r w:rsidRPr="00F07170">
        <w:rPr>
          <w:lang w:val="fr-CA"/>
        </w:rPr>
        <w:lastRenderedPageBreak/>
        <w:t>Presque tous les demandeurs d</w:t>
      </w:r>
      <w:r w:rsidR="001407B6" w:rsidRPr="00F07170">
        <w:rPr>
          <w:lang w:val="fr-CA"/>
        </w:rPr>
        <w:t>’</w:t>
      </w:r>
      <w:r w:rsidRPr="00F07170">
        <w:rPr>
          <w:lang w:val="fr-CA"/>
        </w:rPr>
        <w:t xml:space="preserve">emploi </w:t>
      </w:r>
      <w:r w:rsidR="00581445" w:rsidRPr="00F07170">
        <w:rPr>
          <w:lang w:val="fr-CA"/>
        </w:rPr>
        <w:t xml:space="preserve">considèrent </w:t>
      </w:r>
      <w:r w:rsidRPr="00F07170">
        <w:rPr>
          <w:lang w:val="fr-CA"/>
        </w:rPr>
        <w:t xml:space="preserve">la résolution de problèmes </w:t>
      </w:r>
      <w:r w:rsidR="00581445" w:rsidRPr="00F07170">
        <w:rPr>
          <w:lang w:val="fr-CA"/>
        </w:rPr>
        <w:t xml:space="preserve">comme étant </w:t>
      </w:r>
      <w:r w:rsidRPr="00F07170">
        <w:rPr>
          <w:lang w:val="fr-CA"/>
        </w:rPr>
        <w:t>l</w:t>
      </w:r>
      <w:r w:rsidR="001407B6" w:rsidRPr="00F07170">
        <w:rPr>
          <w:lang w:val="fr-CA"/>
        </w:rPr>
        <w:t>’</w:t>
      </w:r>
      <w:r w:rsidRPr="00F07170">
        <w:rPr>
          <w:lang w:val="fr-CA"/>
        </w:rPr>
        <w:t>un</w:t>
      </w:r>
      <w:r w:rsidR="00581445" w:rsidRPr="00F07170">
        <w:rPr>
          <w:lang w:val="fr-CA"/>
        </w:rPr>
        <w:t>e</w:t>
      </w:r>
      <w:r w:rsidRPr="00F07170">
        <w:rPr>
          <w:lang w:val="fr-CA"/>
        </w:rPr>
        <w:t xml:space="preserve"> de leurs </w:t>
      </w:r>
      <w:r w:rsidR="00581445" w:rsidRPr="00F07170">
        <w:rPr>
          <w:lang w:val="fr-CA"/>
        </w:rPr>
        <w:t>forces</w:t>
      </w:r>
      <w:r w:rsidRPr="00F07170">
        <w:rPr>
          <w:lang w:val="fr-CA"/>
        </w:rPr>
        <w:t xml:space="preserve">. </w:t>
      </w:r>
      <w:r w:rsidR="00581445" w:rsidRPr="00F07170">
        <w:rPr>
          <w:lang w:val="fr-CA"/>
        </w:rPr>
        <w:t>Bon n</w:t>
      </w:r>
      <w:r w:rsidRPr="00F07170">
        <w:rPr>
          <w:lang w:val="fr-CA"/>
        </w:rPr>
        <w:t>ombre d</w:t>
      </w:r>
      <w:r w:rsidR="001407B6" w:rsidRPr="00F07170">
        <w:rPr>
          <w:lang w:val="fr-CA"/>
        </w:rPr>
        <w:t>’</w:t>
      </w:r>
      <w:r w:rsidRPr="00F07170">
        <w:rPr>
          <w:lang w:val="fr-CA"/>
        </w:rPr>
        <w:t>entre eux estiment qu</w:t>
      </w:r>
      <w:r w:rsidR="001407B6" w:rsidRPr="00F07170">
        <w:rPr>
          <w:lang w:val="fr-CA"/>
        </w:rPr>
        <w:t>’</w:t>
      </w:r>
      <w:r w:rsidRPr="00F07170">
        <w:rPr>
          <w:lang w:val="fr-CA"/>
        </w:rPr>
        <w:t xml:space="preserve">ils </w:t>
      </w:r>
      <w:r w:rsidR="00581445" w:rsidRPr="00F07170">
        <w:rPr>
          <w:lang w:val="fr-CA"/>
        </w:rPr>
        <w:t>peuvent</w:t>
      </w:r>
      <w:r w:rsidRPr="00F07170">
        <w:rPr>
          <w:lang w:val="fr-CA"/>
        </w:rPr>
        <w:t xml:space="preserve"> résoudre des problèmes au travail et dans la vie quotidienne et que les autres le</w:t>
      </w:r>
      <w:r w:rsidR="00581445" w:rsidRPr="00F07170">
        <w:rPr>
          <w:lang w:val="fr-CA"/>
        </w:rPr>
        <w:t xml:space="preserve">ur demandent </w:t>
      </w:r>
      <w:r w:rsidRPr="00F07170">
        <w:rPr>
          <w:lang w:val="fr-CA"/>
        </w:rPr>
        <w:t xml:space="preserve">souvent </w:t>
      </w:r>
      <w:r w:rsidR="00581445" w:rsidRPr="00F07170">
        <w:rPr>
          <w:lang w:val="fr-CA"/>
        </w:rPr>
        <w:t>de</w:t>
      </w:r>
      <w:r w:rsidRPr="00F07170">
        <w:rPr>
          <w:lang w:val="fr-CA"/>
        </w:rPr>
        <w:t xml:space="preserve"> l</w:t>
      </w:r>
      <w:r w:rsidR="00581445" w:rsidRPr="00F07170">
        <w:rPr>
          <w:lang w:val="fr-CA"/>
        </w:rPr>
        <w:t>’</w:t>
      </w:r>
      <w:r w:rsidRPr="00F07170">
        <w:rPr>
          <w:lang w:val="fr-CA"/>
        </w:rPr>
        <w:t xml:space="preserve">aide. </w:t>
      </w:r>
      <w:r w:rsidR="00581445" w:rsidRPr="00F07170">
        <w:rPr>
          <w:lang w:val="fr-CA"/>
        </w:rPr>
        <w:t>Plusieurs</w:t>
      </w:r>
      <w:r w:rsidRPr="00F07170">
        <w:rPr>
          <w:lang w:val="fr-CA"/>
        </w:rPr>
        <w:t xml:space="preserve"> participants </w:t>
      </w:r>
      <w:r w:rsidR="00581445" w:rsidRPr="00F07170">
        <w:rPr>
          <w:lang w:val="fr-CA"/>
        </w:rPr>
        <w:t>se disent</w:t>
      </w:r>
      <w:r w:rsidRPr="00F07170">
        <w:rPr>
          <w:lang w:val="fr-CA"/>
        </w:rPr>
        <w:t xml:space="preserve"> également créatifs et innovants </w:t>
      </w:r>
      <w:r w:rsidR="00581445" w:rsidRPr="00F07170">
        <w:rPr>
          <w:lang w:val="fr-CA"/>
        </w:rPr>
        <w:t>au</w:t>
      </w:r>
      <w:r w:rsidRPr="00F07170">
        <w:rPr>
          <w:lang w:val="fr-CA"/>
        </w:rPr>
        <w:t xml:space="preserve"> travail, et se décri</w:t>
      </w:r>
      <w:r w:rsidR="00581445" w:rsidRPr="00F07170">
        <w:rPr>
          <w:lang w:val="fr-CA"/>
        </w:rPr>
        <w:t>ven</w:t>
      </w:r>
      <w:r w:rsidRPr="00F07170">
        <w:rPr>
          <w:lang w:val="fr-CA"/>
        </w:rPr>
        <w:t xml:space="preserve">t comme inventifs et doués </w:t>
      </w:r>
      <w:r w:rsidR="00581445" w:rsidRPr="00F07170">
        <w:rPr>
          <w:lang w:val="fr-CA"/>
        </w:rPr>
        <w:t>lors de séances de remue-méninges</w:t>
      </w:r>
      <w:r w:rsidRPr="00F07170">
        <w:rPr>
          <w:lang w:val="fr-CA"/>
        </w:rPr>
        <w:t>.</w:t>
      </w:r>
    </w:p>
    <w:p w14:paraId="566CDE8D" w14:textId="1918CC64" w:rsidR="00EC36F6" w:rsidRPr="00F07170" w:rsidRDefault="00EC36F6" w:rsidP="003F1DBC">
      <w:pPr>
        <w:rPr>
          <w:lang w:val="fr-CA"/>
        </w:rPr>
      </w:pPr>
      <w:r w:rsidRPr="00F07170">
        <w:rPr>
          <w:lang w:val="fr-CA"/>
        </w:rPr>
        <w:t xml:space="preserve">La plupart des participants ont </w:t>
      </w:r>
      <w:r w:rsidR="007A5C70" w:rsidRPr="00F07170">
        <w:rPr>
          <w:lang w:val="fr-CA"/>
        </w:rPr>
        <w:t xml:space="preserve">identifié </w:t>
      </w:r>
      <w:r w:rsidRPr="00F07170">
        <w:rPr>
          <w:lang w:val="fr-CA"/>
        </w:rPr>
        <w:t xml:space="preserve">la communication </w:t>
      </w:r>
      <w:r w:rsidR="007A5C70" w:rsidRPr="00F07170">
        <w:rPr>
          <w:lang w:val="fr-CA"/>
        </w:rPr>
        <w:t xml:space="preserve">comme </w:t>
      </w:r>
      <w:r w:rsidRPr="00F07170">
        <w:rPr>
          <w:lang w:val="fr-CA"/>
        </w:rPr>
        <w:t>l</w:t>
      </w:r>
      <w:r w:rsidR="001407B6" w:rsidRPr="00F07170">
        <w:rPr>
          <w:lang w:val="fr-CA"/>
        </w:rPr>
        <w:t>’</w:t>
      </w:r>
      <w:r w:rsidRPr="00F07170">
        <w:rPr>
          <w:lang w:val="fr-CA"/>
        </w:rPr>
        <w:t>un de leurs meilleurs atouts. Les demandeurs d</w:t>
      </w:r>
      <w:r w:rsidR="001407B6" w:rsidRPr="00F07170">
        <w:rPr>
          <w:lang w:val="fr-CA"/>
        </w:rPr>
        <w:t>’</w:t>
      </w:r>
      <w:r w:rsidRPr="00F07170">
        <w:rPr>
          <w:lang w:val="fr-CA"/>
        </w:rPr>
        <w:t xml:space="preserve">emploi ont </w:t>
      </w:r>
      <w:r w:rsidR="00972B09" w:rsidRPr="00F07170">
        <w:rPr>
          <w:lang w:val="fr-CA"/>
        </w:rPr>
        <w:t>diverses</w:t>
      </w:r>
      <w:r w:rsidRPr="00F07170">
        <w:rPr>
          <w:lang w:val="fr-CA"/>
        </w:rPr>
        <w:t xml:space="preserve"> compétences en communication : certains sont d</w:t>
      </w:r>
      <w:r w:rsidR="001407B6" w:rsidRPr="00F07170">
        <w:rPr>
          <w:lang w:val="fr-CA"/>
        </w:rPr>
        <w:t>’</w:t>
      </w:r>
      <w:r w:rsidRPr="00F07170">
        <w:rPr>
          <w:lang w:val="fr-CA"/>
        </w:rPr>
        <w:t xml:space="preserve">excellents rédacteurs, </w:t>
      </w:r>
      <w:r w:rsidR="00972B09" w:rsidRPr="00F07170">
        <w:rPr>
          <w:lang w:val="fr-CA"/>
        </w:rPr>
        <w:t>alors</w:t>
      </w:r>
      <w:r w:rsidRPr="00F07170">
        <w:rPr>
          <w:lang w:val="fr-CA"/>
        </w:rPr>
        <w:t xml:space="preserve"> que d</w:t>
      </w:r>
      <w:r w:rsidR="001407B6" w:rsidRPr="00F07170">
        <w:rPr>
          <w:lang w:val="fr-CA"/>
        </w:rPr>
        <w:t>’</w:t>
      </w:r>
      <w:r w:rsidRPr="00F07170">
        <w:rPr>
          <w:lang w:val="fr-CA"/>
        </w:rPr>
        <w:t xml:space="preserve">autres sont doués pour la communication non verbale. Les </w:t>
      </w:r>
      <w:r w:rsidR="00972B09" w:rsidRPr="00F07170">
        <w:rPr>
          <w:lang w:val="fr-CA"/>
        </w:rPr>
        <w:t xml:space="preserve">fournisseurs </w:t>
      </w:r>
      <w:r w:rsidRPr="00F07170">
        <w:rPr>
          <w:lang w:val="fr-CA"/>
        </w:rPr>
        <w:t xml:space="preserve">de services ont </w:t>
      </w:r>
      <w:r w:rsidR="00972B09" w:rsidRPr="00F07170">
        <w:rPr>
          <w:lang w:val="fr-CA"/>
        </w:rPr>
        <w:t>expliqué</w:t>
      </w:r>
      <w:r w:rsidRPr="00F07170">
        <w:rPr>
          <w:lang w:val="fr-CA"/>
        </w:rPr>
        <w:t xml:space="preserve"> comment l</w:t>
      </w:r>
      <w:r w:rsidR="001407B6" w:rsidRPr="00F07170">
        <w:rPr>
          <w:lang w:val="fr-CA"/>
        </w:rPr>
        <w:t>’</w:t>
      </w:r>
      <w:r w:rsidRPr="00F07170">
        <w:rPr>
          <w:lang w:val="fr-CA"/>
        </w:rPr>
        <w:t xml:space="preserve">acquisition </w:t>
      </w:r>
      <w:r w:rsidR="00972B09" w:rsidRPr="00F07170">
        <w:rPr>
          <w:lang w:val="fr-CA"/>
        </w:rPr>
        <w:t>de compétences en communication</w:t>
      </w:r>
      <w:r w:rsidRPr="00F07170">
        <w:rPr>
          <w:lang w:val="fr-CA"/>
        </w:rPr>
        <w:t xml:space="preserve"> a aidé le</w:t>
      </w:r>
      <w:r w:rsidR="00972B09" w:rsidRPr="00F07170">
        <w:rPr>
          <w:lang w:val="fr-CA"/>
        </w:rPr>
        <w:t>ur</w:t>
      </w:r>
      <w:r w:rsidRPr="00F07170">
        <w:rPr>
          <w:lang w:val="fr-CA"/>
        </w:rPr>
        <w:t>s clients à s</w:t>
      </w:r>
      <w:r w:rsidR="001407B6" w:rsidRPr="00F07170">
        <w:rPr>
          <w:lang w:val="fr-CA"/>
        </w:rPr>
        <w:t>’</w:t>
      </w:r>
      <w:r w:rsidRPr="00F07170">
        <w:rPr>
          <w:lang w:val="fr-CA"/>
        </w:rPr>
        <w:t>adapter à de nouvelles fonctions, comme le service à la clientèle, ou à surmonter des obstacles tels que l</w:t>
      </w:r>
      <w:r w:rsidR="001407B6" w:rsidRPr="00F07170">
        <w:rPr>
          <w:lang w:val="fr-CA"/>
        </w:rPr>
        <w:t>’</w:t>
      </w:r>
      <w:r w:rsidRPr="00F07170">
        <w:rPr>
          <w:lang w:val="fr-CA"/>
        </w:rPr>
        <w:t xml:space="preserve">anxiété </w:t>
      </w:r>
      <w:r w:rsidR="00972B09" w:rsidRPr="00F07170">
        <w:rPr>
          <w:lang w:val="fr-CA"/>
        </w:rPr>
        <w:t>lors d’une entrevue</w:t>
      </w:r>
      <w:r w:rsidRPr="00F07170">
        <w:rPr>
          <w:lang w:val="fr-CA"/>
        </w:rPr>
        <w:t>.</w:t>
      </w:r>
    </w:p>
    <w:p w14:paraId="7390EC73" w14:textId="5B020B00" w:rsidR="0046289E" w:rsidRPr="00F07170" w:rsidRDefault="0046289E" w:rsidP="003F1DBC">
      <w:pPr>
        <w:rPr>
          <w:lang w:val="fr-CA"/>
        </w:rPr>
      </w:pPr>
      <w:r w:rsidRPr="00F07170">
        <w:rPr>
          <w:lang w:val="fr-CA"/>
        </w:rPr>
        <w:t>De nombreux demandeurs d</w:t>
      </w:r>
      <w:r w:rsidR="001407B6" w:rsidRPr="00F07170">
        <w:rPr>
          <w:lang w:val="fr-CA"/>
        </w:rPr>
        <w:t>’</w:t>
      </w:r>
      <w:r w:rsidRPr="00F07170">
        <w:rPr>
          <w:lang w:val="fr-CA"/>
        </w:rPr>
        <w:t>emploi estim</w:t>
      </w:r>
      <w:r w:rsidR="00FF4368" w:rsidRPr="00F07170">
        <w:rPr>
          <w:lang w:val="fr-CA"/>
        </w:rPr>
        <w:t>ent</w:t>
      </w:r>
      <w:r w:rsidRPr="00F07170">
        <w:rPr>
          <w:lang w:val="fr-CA"/>
        </w:rPr>
        <w:t xml:space="preserve"> qu</w:t>
      </w:r>
      <w:r w:rsidR="001407B6" w:rsidRPr="00F07170">
        <w:rPr>
          <w:lang w:val="fr-CA"/>
        </w:rPr>
        <w:t>’</w:t>
      </w:r>
      <w:r w:rsidRPr="00F07170">
        <w:rPr>
          <w:lang w:val="fr-CA"/>
        </w:rPr>
        <w:t xml:space="preserve">ils </w:t>
      </w:r>
      <w:r w:rsidR="00FF4368" w:rsidRPr="00F07170">
        <w:rPr>
          <w:lang w:val="fr-CA"/>
        </w:rPr>
        <w:t xml:space="preserve">ont un esprit de collaboration </w:t>
      </w:r>
      <w:r w:rsidRPr="00F07170">
        <w:rPr>
          <w:lang w:val="fr-CA"/>
        </w:rPr>
        <w:t>solide</w:t>
      </w:r>
      <w:r w:rsidR="00FF4368" w:rsidRPr="00F07170">
        <w:rPr>
          <w:lang w:val="fr-CA"/>
        </w:rPr>
        <w:t xml:space="preserve">, une compétence </w:t>
      </w:r>
      <w:r w:rsidRPr="00F07170">
        <w:rPr>
          <w:lang w:val="fr-CA"/>
        </w:rPr>
        <w:t>qu</w:t>
      </w:r>
      <w:r w:rsidR="001407B6" w:rsidRPr="00F07170">
        <w:rPr>
          <w:lang w:val="fr-CA"/>
        </w:rPr>
        <w:t>’</w:t>
      </w:r>
      <w:r w:rsidRPr="00F07170">
        <w:rPr>
          <w:lang w:val="fr-CA"/>
        </w:rPr>
        <w:t>ils démontr</w:t>
      </w:r>
      <w:r w:rsidR="00FF4368" w:rsidRPr="00F07170">
        <w:rPr>
          <w:lang w:val="fr-CA"/>
        </w:rPr>
        <w:t xml:space="preserve">ent de différentes </w:t>
      </w:r>
      <w:r w:rsidRPr="00F07170">
        <w:rPr>
          <w:lang w:val="fr-CA"/>
        </w:rPr>
        <w:t xml:space="preserve">manières. Certains se décrivent comme des personnes sociables et extraverties </w:t>
      </w:r>
      <w:r w:rsidR="00FF4368" w:rsidRPr="00F07170">
        <w:rPr>
          <w:lang w:val="fr-CA"/>
        </w:rPr>
        <w:t>–</w:t>
      </w:r>
      <w:r w:rsidRPr="00F07170">
        <w:rPr>
          <w:lang w:val="fr-CA"/>
        </w:rPr>
        <w:t xml:space="preserve"> des compétences essentielles pour nouer des contacts et établir des relations </w:t>
      </w:r>
      <w:r w:rsidR="00972B09" w:rsidRPr="00F07170">
        <w:rPr>
          <w:lang w:val="fr-CA"/>
        </w:rPr>
        <w:t>au</w:t>
      </w:r>
      <w:r w:rsidRPr="00F07170">
        <w:rPr>
          <w:lang w:val="fr-CA"/>
        </w:rPr>
        <w:t xml:space="preserve"> travail. </w:t>
      </w:r>
      <w:r w:rsidR="00FF4368" w:rsidRPr="00F07170">
        <w:rPr>
          <w:lang w:val="fr-CA"/>
        </w:rPr>
        <w:t>D’autres</w:t>
      </w:r>
      <w:r w:rsidRPr="00F07170">
        <w:rPr>
          <w:lang w:val="fr-CA"/>
        </w:rPr>
        <w:t xml:space="preserve"> s</w:t>
      </w:r>
      <w:r w:rsidR="001407B6" w:rsidRPr="00F07170">
        <w:rPr>
          <w:lang w:val="fr-CA"/>
        </w:rPr>
        <w:t>’</w:t>
      </w:r>
      <w:r w:rsidRPr="00F07170">
        <w:rPr>
          <w:lang w:val="fr-CA"/>
        </w:rPr>
        <w:t>épanouissent au sein d</w:t>
      </w:r>
      <w:r w:rsidR="001407B6" w:rsidRPr="00F07170">
        <w:rPr>
          <w:lang w:val="fr-CA"/>
        </w:rPr>
        <w:t>’</w:t>
      </w:r>
      <w:r w:rsidR="00FF4368" w:rsidRPr="00F07170">
        <w:rPr>
          <w:lang w:val="fr-CA"/>
        </w:rPr>
        <w:t xml:space="preserve">une </w:t>
      </w:r>
      <w:r w:rsidRPr="00F07170">
        <w:rPr>
          <w:lang w:val="fr-CA"/>
        </w:rPr>
        <w:t xml:space="preserve">équipe. </w:t>
      </w:r>
      <w:r w:rsidR="00FF4368" w:rsidRPr="00F07170">
        <w:rPr>
          <w:lang w:val="fr-CA"/>
        </w:rPr>
        <w:t>Et il y a ceux et celles qui</w:t>
      </w:r>
      <w:r w:rsidRPr="00F07170">
        <w:rPr>
          <w:lang w:val="fr-CA"/>
        </w:rPr>
        <w:t xml:space="preserve"> estiment que le fait d</w:t>
      </w:r>
      <w:r w:rsidR="001407B6" w:rsidRPr="00F07170">
        <w:rPr>
          <w:lang w:val="fr-CA"/>
        </w:rPr>
        <w:t>’</w:t>
      </w:r>
      <w:r w:rsidR="00FF4368" w:rsidRPr="00F07170">
        <w:rPr>
          <w:lang w:val="fr-CA"/>
        </w:rPr>
        <w:t>avoir un</w:t>
      </w:r>
      <w:r w:rsidRPr="00F07170">
        <w:rPr>
          <w:lang w:val="fr-CA"/>
        </w:rPr>
        <w:t xml:space="preserve"> handicap renforc</w:t>
      </w:r>
      <w:r w:rsidR="00FF4368" w:rsidRPr="00F07170">
        <w:rPr>
          <w:lang w:val="fr-CA"/>
        </w:rPr>
        <w:t>e</w:t>
      </w:r>
      <w:r w:rsidRPr="00F07170">
        <w:rPr>
          <w:lang w:val="fr-CA"/>
        </w:rPr>
        <w:t xml:space="preserve"> leur empathie et leur compassion.</w:t>
      </w:r>
    </w:p>
    <w:p w14:paraId="0C71F5F6" w14:textId="08DFF3A8" w:rsidR="0046289E" w:rsidRPr="00F07170" w:rsidRDefault="0046289E" w:rsidP="003F1DBC">
      <w:pPr>
        <w:rPr>
          <w:lang w:val="fr-CA"/>
        </w:rPr>
      </w:pPr>
      <w:r w:rsidRPr="00F07170">
        <w:rPr>
          <w:lang w:val="fr-CA"/>
        </w:rPr>
        <w:t xml:space="preserve">Certains participants </w:t>
      </w:r>
      <w:r w:rsidR="00173812" w:rsidRPr="00F07170">
        <w:rPr>
          <w:lang w:val="fr-CA"/>
        </w:rPr>
        <w:t xml:space="preserve">disent avoir </w:t>
      </w:r>
      <w:r w:rsidR="00FF4368" w:rsidRPr="00F07170">
        <w:rPr>
          <w:lang w:val="fr-CA"/>
        </w:rPr>
        <w:t>une grande capacité d’adaptation</w:t>
      </w:r>
      <w:r w:rsidRPr="00F07170">
        <w:rPr>
          <w:lang w:val="fr-CA"/>
        </w:rPr>
        <w:t xml:space="preserve">. </w:t>
      </w:r>
      <w:r w:rsidR="00FF4368" w:rsidRPr="00F07170">
        <w:rPr>
          <w:lang w:val="fr-CA"/>
        </w:rPr>
        <w:t xml:space="preserve">Cette capacité comprend </w:t>
      </w:r>
      <w:r w:rsidRPr="00F07170">
        <w:rPr>
          <w:lang w:val="fr-CA"/>
        </w:rPr>
        <w:t>un large éventail de compétences, dont la flexibilité, la persévérance, la résilience, l</w:t>
      </w:r>
      <w:r w:rsidR="003E6BC4" w:rsidRPr="00F07170">
        <w:rPr>
          <w:lang w:val="fr-CA"/>
        </w:rPr>
        <w:t>a gestion</w:t>
      </w:r>
      <w:r w:rsidRPr="00F07170">
        <w:rPr>
          <w:lang w:val="fr-CA"/>
        </w:rPr>
        <w:t xml:space="preserve"> des émotions et l</w:t>
      </w:r>
      <w:r w:rsidR="001407B6" w:rsidRPr="00F07170">
        <w:rPr>
          <w:lang w:val="fr-CA"/>
        </w:rPr>
        <w:t>’</w:t>
      </w:r>
      <w:r w:rsidRPr="00F07170">
        <w:rPr>
          <w:lang w:val="fr-CA"/>
        </w:rPr>
        <w:t>ouverture d</w:t>
      </w:r>
      <w:r w:rsidR="001407B6" w:rsidRPr="00F07170">
        <w:rPr>
          <w:lang w:val="fr-CA"/>
        </w:rPr>
        <w:t>’</w:t>
      </w:r>
      <w:r w:rsidRPr="00F07170">
        <w:rPr>
          <w:lang w:val="fr-CA"/>
        </w:rPr>
        <w:t>esprit. Les demandeurs d</w:t>
      </w:r>
      <w:r w:rsidR="001407B6" w:rsidRPr="00F07170">
        <w:rPr>
          <w:lang w:val="fr-CA"/>
        </w:rPr>
        <w:t>’</w:t>
      </w:r>
      <w:r w:rsidRPr="00F07170">
        <w:rPr>
          <w:lang w:val="fr-CA"/>
        </w:rPr>
        <w:t xml:space="preserve">emploi </w:t>
      </w:r>
      <w:r w:rsidR="00173812" w:rsidRPr="00F07170">
        <w:rPr>
          <w:lang w:val="fr-CA"/>
        </w:rPr>
        <w:t>ont</w:t>
      </w:r>
      <w:r w:rsidR="00FF4368" w:rsidRPr="00F07170">
        <w:rPr>
          <w:lang w:val="fr-CA"/>
        </w:rPr>
        <w:t>, ici aussi,</w:t>
      </w:r>
      <w:r w:rsidRPr="00F07170">
        <w:rPr>
          <w:lang w:val="fr-CA"/>
        </w:rPr>
        <w:t xml:space="preserve"> des capacités d</w:t>
      </w:r>
      <w:r w:rsidR="001407B6" w:rsidRPr="00F07170">
        <w:rPr>
          <w:lang w:val="fr-CA"/>
        </w:rPr>
        <w:t>’</w:t>
      </w:r>
      <w:r w:rsidRPr="00F07170">
        <w:rPr>
          <w:lang w:val="fr-CA"/>
        </w:rPr>
        <w:t>adaptation diverses : certains étaient flexibles face au changement, d</w:t>
      </w:r>
      <w:r w:rsidR="001407B6" w:rsidRPr="00F07170">
        <w:rPr>
          <w:lang w:val="fr-CA"/>
        </w:rPr>
        <w:t>’</w:t>
      </w:r>
      <w:r w:rsidRPr="00F07170">
        <w:rPr>
          <w:lang w:val="fr-CA"/>
        </w:rPr>
        <w:t xml:space="preserve">autres étaient très résilients. Les </w:t>
      </w:r>
      <w:r w:rsidR="00173812" w:rsidRPr="00F07170">
        <w:rPr>
          <w:lang w:val="fr-CA"/>
        </w:rPr>
        <w:t>fournisseurs</w:t>
      </w:r>
      <w:r w:rsidRPr="00F07170">
        <w:rPr>
          <w:lang w:val="fr-CA"/>
        </w:rPr>
        <w:t xml:space="preserve"> de services ont également </w:t>
      </w:r>
      <w:r w:rsidR="00173812" w:rsidRPr="00F07170">
        <w:rPr>
          <w:lang w:val="fr-CA"/>
        </w:rPr>
        <w:t>mentionné</w:t>
      </w:r>
      <w:r w:rsidRPr="00F07170">
        <w:rPr>
          <w:lang w:val="fr-CA"/>
        </w:rPr>
        <w:t xml:space="preserve"> que de nombreux clients amélioraient considérablement leurs capacités d</w:t>
      </w:r>
      <w:r w:rsidR="001407B6" w:rsidRPr="00F07170">
        <w:rPr>
          <w:lang w:val="fr-CA"/>
        </w:rPr>
        <w:t>’</w:t>
      </w:r>
      <w:r w:rsidRPr="00F07170">
        <w:rPr>
          <w:lang w:val="fr-CA"/>
        </w:rPr>
        <w:t>adaptation au cours de la formation.</w:t>
      </w:r>
    </w:p>
    <w:p w14:paraId="2187767C" w14:textId="1A1439E2" w:rsidR="0046289E" w:rsidRPr="00F07170" w:rsidRDefault="0046289E" w:rsidP="003F1DBC">
      <w:pPr>
        <w:rPr>
          <w:lang w:val="fr-CA"/>
        </w:rPr>
      </w:pPr>
      <w:r w:rsidRPr="00F07170">
        <w:rPr>
          <w:lang w:val="fr-CA"/>
        </w:rPr>
        <w:t>Les demandeurs d</w:t>
      </w:r>
      <w:r w:rsidR="001407B6" w:rsidRPr="00F07170">
        <w:rPr>
          <w:lang w:val="fr-CA"/>
        </w:rPr>
        <w:t>’</w:t>
      </w:r>
      <w:r w:rsidRPr="00F07170">
        <w:rPr>
          <w:lang w:val="fr-CA"/>
        </w:rPr>
        <w:t>emploi ont</w:t>
      </w:r>
      <w:r w:rsidR="00417B6C" w:rsidRPr="00F07170">
        <w:rPr>
          <w:lang w:val="fr-CA"/>
        </w:rPr>
        <w:t xml:space="preserve"> évalué leur maîtrise des</w:t>
      </w:r>
      <w:r w:rsidRPr="00F07170">
        <w:rPr>
          <w:lang w:val="fr-CA"/>
        </w:rPr>
        <w:t xml:space="preserve"> sujets abordés dans les cours avant et après avoir su</w:t>
      </w:r>
      <w:r w:rsidR="00417B6C" w:rsidRPr="00F07170">
        <w:rPr>
          <w:lang w:val="fr-CA"/>
        </w:rPr>
        <w:t xml:space="preserve">ivi une formation en ligne. Les notes pour une compétence donnée représentent une moyenne pour </w:t>
      </w:r>
      <w:r w:rsidRPr="00F07170">
        <w:rPr>
          <w:lang w:val="fr-CA"/>
        </w:rPr>
        <w:t xml:space="preserve">tous les cours </w:t>
      </w:r>
      <w:r w:rsidR="00417B6C" w:rsidRPr="00F07170">
        <w:rPr>
          <w:lang w:val="fr-CA"/>
        </w:rPr>
        <w:t xml:space="preserve">que les clients ont </w:t>
      </w:r>
      <w:r w:rsidRPr="00F07170">
        <w:rPr>
          <w:lang w:val="fr-CA"/>
        </w:rPr>
        <w:t xml:space="preserve">suivis dans </w:t>
      </w:r>
      <w:r w:rsidR="00417B6C" w:rsidRPr="00F07170">
        <w:rPr>
          <w:lang w:val="fr-CA"/>
        </w:rPr>
        <w:t>cette</w:t>
      </w:r>
      <w:r w:rsidRPr="00F07170">
        <w:rPr>
          <w:lang w:val="fr-CA"/>
        </w:rPr>
        <w:t xml:space="preserve"> compétence.</w:t>
      </w:r>
    </w:p>
    <w:p w14:paraId="0959BBB9" w14:textId="219C3512" w:rsidR="004E1109" w:rsidRPr="00F07170" w:rsidRDefault="00691C13" w:rsidP="004E1109">
      <w:pPr>
        <w:jc w:val="center"/>
      </w:pPr>
      <w:r w:rsidRPr="00F07170">
        <w:rPr>
          <w:noProof/>
        </w:rPr>
        <w:drawing>
          <wp:inline distT="0" distB="0" distL="0" distR="0" wp14:anchorId="00ACCAAF" wp14:editId="00535A4D">
            <wp:extent cx="5418161" cy="2974615"/>
            <wp:effectExtent l="0" t="0" r="11430" b="16510"/>
            <wp:docPr id="81574734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B3CD94" w14:textId="47028019" w:rsidR="003A15ED" w:rsidRPr="00F07170" w:rsidRDefault="004E1109" w:rsidP="003A15ED">
      <w:pPr>
        <w:rPr>
          <w:lang w:val="fr-CA"/>
        </w:rPr>
      </w:pPr>
      <w:r w:rsidRPr="00F07170">
        <w:rPr>
          <w:lang w:val="fr-CA"/>
        </w:rPr>
        <w:lastRenderedPageBreak/>
        <w:t xml:space="preserve">Description : </w:t>
      </w:r>
      <w:r w:rsidR="00417B6C" w:rsidRPr="00F07170">
        <w:rPr>
          <w:lang w:val="fr-CA"/>
        </w:rPr>
        <w:t>Un graphique linéaire intitulé « </w:t>
      </w:r>
      <w:r w:rsidR="003A15ED" w:rsidRPr="00F07170">
        <w:rPr>
          <w:lang w:val="fr-CA"/>
        </w:rPr>
        <w:t>C</w:t>
      </w:r>
      <w:r w:rsidR="00417B6C" w:rsidRPr="00F07170">
        <w:rPr>
          <w:lang w:val="fr-CA"/>
        </w:rPr>
        <w:t>apacité</w:t>
      </w:r>
      <w:r w:rsidR="003A15ED" w:rsidRPr="00F07170">
        <w:rPr>
          <w:lang w:val="fr-CA"/>
        </w:rPr>
        <w:t xml:space="preserve"> d</w:t>
      </w:r>
      <w:r w:rsidR="001407B6" w:rsidRPr="00F07170">
        <w:rPr>
          <w:lang w:val="fr-CA"/>
        </w:rPr>
        <w:t>’</w:t>
      </w:r>
      <w:r w:rsidR="003A15ED" w:rsidRPr="00F07170">
        <w:rPr>
          <w:lang w:val="fr-CA"/>
        </w:rPr>
        <w:t>adaptation</w:t>
      </w:r>
      <w:r w:rsidR="00417B6C" w:rsidRPr="00F07170">
        <w:rPr>
          <w:lang w:val="fr-CA"/>
        </w:rPr>
        <w:t> »</w:t>
      </w:r>
      <w:r w:rsidR="003A15ED" w:rsidRPr="00F07170">
        <w:rPr>
          <w:lang w:val="fr-CA"/>
        </w:rPr>
        <w:t xml:space="preserve"> montr</w:t>
      </w:r>
      <w:r w:rsidR="00417B6C" w:rsidRPr="00F07170">
        <w:rPr>
          <w:lang w:val="fr-CA"/>
        </w:rPr>
        <w:t>e</w:t>
      </w:r>
      <w:r w:rsidR="003A15ED" w:rsidRPr="00F07170">
        <w:rPr>
          <w:lang w:val="fr-CA"/>
        </w:rPr>
        <w:t xml:space="preserve"> les </w:t>
      </w:r>
      <w:r w:rsidR="00417B6C" w:rsidRPr="00F07170">
        <w:rPr>
          <w:lang w:val="fr-CA"/>
        </w:rPr>
        <w:t>notes</w:t>
      </w:r>
      <w:r w:rsidR="003A15ED" w:rsidRPr="00F07170">
        <w:rPr>
          <w:lang w:val="fr-CA"/>
        </w:rPr>
        <w:t xml:space="preserve"> </w:t>
      </w:r>
      <w:r w:rsidR="003E4C44" w:rsidRPr="00F07170">
        <w:rPr>
          <w:lang w:val="fr-CA"/>
        </w:rPr>
        <w:t>moyen</w:t>
      </w:r>
      <w:r w:rsidR="00417B6C" w:rsidRPr="00F07170">
        <w:rPr>
          <w:lang w:val="fr-CA"/>
        </w:rPr>
        <w:t>ne</w:t>
      </w:r>
      <w:r w:rsidR="003E4C44" w:rsidRPr="00F07170">
        <w:rPr>
          <w:lang w:val="fr-CA"/>
        </w:rPr>
        <w:t xml:space="preserve">s </w:t>
      </w:r>
      <w:r w:rsidR="00417B6C" w:rsidRPr="00F07170">
        <w:rPr>
          <w:lang w:val="fr-CA"/>
        </w:rPr>
        <w:t xml:space="preserve">que les </w:t>
      </w:r>
      <w:r w:rsidR="003A15ED" w:rsidRPr="00F07170">
        <w:rPr>
          <w:lang w:val="fr-CA"/>
        </w:rPr>
        <w:t xml:space="preserve">participants </w:t>
      </w:r>
      <w:r w:rsidR="00417B6C" w:rsidRPr="00F07170">
        <w:rPr>
          <w:lang w:val="fr-CA"/>
        </w:rPr>
        <w:t xml:space="preserve">ont </w:t>
      </w:r>
      <w:r w:rsidR="00B932C5" w:rsidRPr="00F07170">
        <w:rPr>
          <w:lang w:val="fr-CA"/>
        </w:rPr>
        <w:t>données à l’</w:t>
      </w:r>
      <w:r w:rsidR="003E4C44" w:rsidRPr="00F07170">
        <w:rPr>
          <w:lang w:val="fr-CA"/>
        </w:rPr>
        <w:t>évaluation</w:t>
      </w:r>
      <w:r w:rsidR="00B932C5" w:rsidRPr="00F07170">
        <w:rPr>
          <w:lang w:val="fr-CA"/>
        </w:rPr>
        <w:t xml:space="preserve"> de leurs compétences d’adaptabilité</w:t>
      </w:r>
      <w:r w:rsidR="003E4C44" w:rsidRPr="00F07170">
        <w:rPr>
          <w:lang w:val="fr-CA"/>
        </w:rPr>
        <w:t xml:space="preserve"> </w:t>
      </w:r>
      <w:r w:rsidR="00FB5B5F" w:rsidRPr="00F07170">
        <w:rPr>
          <w:lang w:val="fr-CA"/>
        </w:rPr>
        <w:t>avant et après le</w:t>
      </w:r>
      <w:r w:rsidR="00B932C5" w:rsidRPr="00F07170">
        <w:rPr>
          <w:lang w:val="fr-CA"/>
        </w:rPr>
        <w:t>s</w:t>
      </w:r>
      <w:r w:rsidR="00FB5B5F" w:rsidRPr="00F07170">
        <w:rPr>
          <w:lang w:val="fr-CA"/>
        </w:rPr>
        <w:t xml:space="preserve"> cours </w:t>
      </w:r>
      <w:r w:rsidR="00B932C5" w:rsidRPr="00F07170">
        <w:rPr>
          <w:lang w:val="fr-CA"/>
        </w:rPr>
        <w:t xml:space="preserve">qui portaient sur cette </w:t>
      </w:r>
      <w:r w:rsidR="00FB5B5F" w:rsidRPr="00F07170">
        <w:rPr>
          <w:lang w:val="fr-CA"/>
        </w:rPr>
        <w:t>compétence</w:t>
      </w:r>
      <w:r w:rsidR="003A15ED" w:rsidRPr="00F07170">
        <w:rPr>
          <w:lang w:val="fr-CA"/>
        </w:rPr>
        <w:t>. L</w:t>
      </w:r>
      <w:r w:rsidR="001407B6" w:rsidRPr="00F07170">
        <w:rPr>
          <w:lang w:val="fr-CA"/>
        </w:rPr>
        <w:t>’</w:t>
      </w:r>
      <w:r w:rsidR="003A15ED" w:rsidRPr="00F07170">
        <w:rPr>
          <w:lang w:val="fr-CA"/>
        </w:rPr>
        <w:t xml:space="preserve">axe des x </w:t>
      </w:r>
      <w:r w:rsidR="006438CF" w:rsidRPr="00F07170">
        <w:rPr>
          <w:lang w:val="fr-CA"/>
        </w:rPr>
        <w:t>établit</w:t>
      </w:r>
      <w:r w:rsidR="003A15ED" w:rsidRPr="00F07170">
        <w:rPr>
          <w:lang w:val="fr-CA"/>
        </w:rPr>
        <w:t xml:space="preserve"> </w:t>
      </w:r>
      <w:r w:rsidR="006438CF" w:rsidRPr="00F07170">
        <w:rPr>
          <w:lang w:val="fr-CA"/>
        </w:rPr>
        <w:t xml:space="preserve">le moment de l’évaluation, soit </w:t>
      </w:r>
      <w:r w:rsidR="00FB5B5F" w:rsidRPr="00F07170">
        <w:rPr>
          <w:lang w:val="fr-CA"/>
        </w:rPr>
        <w:t>avant le</w:t>
      </w:r>
      <w:r w:rsidR="00B932C5" w:rsidRPr="00F07170">
        <w:rPr>
          <w:lang w:val="fr-CA"/>
        </w:rPr>
        <w:t>s cours (« </w:t>
      </w:r>
      <w:r w:rsidR="00231BF1" w:rsidRPr="00F07170">
        <w:rPr>
          <w:lang w:val="fr-CA"/>
        </w:rPr>
        <w:t>Avant l’</w:t>
      </w:r>
      <w:r w:rsidR="00FB5B5F" w:rsidRPr="00F07170">
        <w:rPr>
          <w:lang w:val="fr-CA"/>
        </w:rPr>
        <w:t>apprentissage</w:t>
      </w:r>
      <w:r w:rsidR="00B932C5" w:rsidRPr="00F07170">
        <w:rPr>
          <w:lang w:val="fr-CA"/>
        </w:rPr>
        <w:t> »</w:t>
      </w:r>
      <w:r w:rsidR="00FB5B5F" w:rsidRPr="00F07170">
        <w:rPr>
          <w:lang w:val="fr-CA"/>
        </w:rPr>
        <w:t>) et après le</w:t>
      </w:r>
      <w:r w:rsidR="00B932C5" w:rsidRPr="00F07170">
        <w:rPr>
          <w:lang w:val="fr-CA"/>
        </w:rPr>
        <w:t>s cours (« </w:t>
      </w:r>
      <w:r w:rsidR="00231BF1" w:rsidRPr="00F07170">
        <w:rPr>
          <w:lang w:val="fr-CA"/>
        </w:rPr>
        <w:t>Après l’</w:t>
      </w:r>
      <w:r w:rsidR="00FB5B5F" w:rsidRPr="00F07170">
        <w:rPr>
          <w:lang w:val="fr-CA"/>
        </w:rPr>
        <w:t>apprentissage</w:t>
      </w:r>
      <w:r w:rsidR="00B932C5" w:rsidRPr="00F07170">
        <w:rPr>
          <w:lang w:val="fr-CA"/>
        </w:rPr>
        <w:t> »</w:t>
      </w:r>
      <w:r w:rsidR="00FB5B5F" w:rsidRPr="00F07170">
        <w:rPr>
          <w:lang w:val="fr-CA"/>
        </w:rPr>
        <w:t>)</w:t>
      </w:r>
      <w:r w:rsidR="003A15ED" w:rsidRPr="00F07170">
        <w:rPr>
          <w:lang w:val="fr-CA"/>
        </w:rPr>
        <w:t>. L</w:t>
      </w:r>
      <w:r w:rsidR="001407B6" w:rsidRPr="00F07170">
        <w:rPr>
          <w:lang w:val="fr-CA"/>
        </w:rPr>
        <w:t>’</w:t>
      </w:r>
      <w:r w:rsidR="003A15ED" w:rsidRPr="00F07170">
        <w:rPr>
          <w:lang w:val="fr-CA"/>
        </w:rPr>
        <w:t xml:space="preserve">axe des y </w:t>
      </w:r>
      <w:r w:rsidR="006438CF" w:rsidRPr="00F07170">
        <w:rPr>
          <w:lang w:val="fr-CA"/>
        </w:rPr>
        <w:t>présent</w:t>
      </w:r>
      <w:r w:rsidR="00B108A1" w:rsidRPr="00F07170">
        <w:rPr>
          <w:lang w:val="fr-CA"/>
        </w:rPr>
        <w:t>e</w:t>
      </w:r>
      <w:r w:rsidR="003A15ED" w:rsidRPr="00F07170">
        <w:rPr>
          <w:lang w:val="fr-CA"/>
        </w:rPr>
        <w:t xml:space="preserve"> le </w:t>
      </w:r>
      <w:r w:rsidR="00FB5B5F" w:rsidRPr="00F07170">
        <w:rPr>
          <w:lang w:val="fr-CA"/>
        </w:rPr>
        <w:t xml:space="preserve">pourcentage moyen des </w:t>
      </w:r>
      <w:r w:rsidR="006438CF" w:rsidRPr="00F07170">
        <w:rPr>
          <w:lang w:val="fr-CA"/>
        </w:rPr>
        <w:t xml:space="preserve">notes que </w:t>
      </w:r>
      <w:r w:rsidR="00FB5B5F" w:rsidRPr="00F07170">
        <w:rPr>
          <w:lang w:val="fr-CA"/>
        </w:rPr>
        <w:t>les participants</w:t>
      </w:r>
      <w:r w:rsidR="006438CF" w:rsidRPr="00F07170">
        <w:rPr>
          <w:lang w:val="fr-CA"/>
        </w:rPr>
        <w:t xml:space="preserve"> ont obtenues</w:t>
      </w:r>
      <w:r w:rsidR="00FB5B5F" w:rsidRPr="00F07170">
        <w:rPr>
          <w:lang w:val="fr-CA"/>
        </w:rPr>
        <w:t>, de 0% à 100%</w:t>
      </w:r>
      <w:r w:rsidR="003A15ED" w:rsidRPr="00F07170">
        <w:rPr>
          <w:lang w:val="fr-CA"/>
        </w:rPr>
        <w:t xml:space="preserve">. Ce graphique </w:t>
      </w:r>
      <w:r w:rsidR="006438CF" w:rsidRPr="00F07170">
        <w:rPr>
          <w:lang w:val="fr-CA"/>
        </w:rPr>
        <w:t>dé</w:t>
      </w:r>
      <w:r w:rsidR="003A15ED" w:rsidRPr="00F07170">
        <w:rPr>
          <w:lang w:val="fr-CA"/>
        </w:rPr>
        <w:t xml:space="preserve">montre </w:t>
      </w:r>
      <w:r w:rsidR="00FB5B5F" w:rsidRPr="00F07170">
        <w:rPr>
          <w:lang w:val="fr-CA"/>
        </w:rPr>
        <w:t>qu</w:t>
      </w:r>
      <w:r w:rsidR="001407B6" w:rsidRPr="00F07170">
        <w:rPr>
          <w:lang w:val="fr-CA"/>
        </w:rPr>
        <w:t>’</w:t>
      </w:r>
      <w:r w:rsidR="00FB5B5F" w:rsidRPr="00F07170">
        <w:rPr>
          <w:lang w:val="fr-CA"/>
        </w:rPr>
        <w:t xml:space="preserve">en moyenne, les </w:t>
      </w:r>
      <w:r w:rsidR="000632CA" w:rsidRPr="00F07170">
        <w:rPr>
          <w:lang w:val="fr-CA"/>
        </w:rPr>
        <w:t xml:space="preserve">participants ont obtenu 72,87 % </w:t>
      </w:r>
      <w:r w:rsidR="006438CF" w:rsidRPr="00F07170">
        <w:rPr>
          <w:lang w:val="fr-CA"/>
        </w:rPr>
        <w:t xml:space="preserve">pour </w:t>
      </w:r>
      <w:r w:rsidR="000632CA" w:rsidRPr="00F07170">
        <w:rPr>
          <w:lang w:val="fr-CA"/>
        </w:rPr>
        <w:t>l</w:t>
      </w:r>
      <w:r w:rsidR="001407B6" w:rsidRPr="00F07170">
        <w:rPr>
          <w:lang w:val="fr-CA"/>
        </w:rPr>
        <w:t>’</w:t>
      </w:r>
      <w:r w:rsidR="000632CA" w:rsidRPr="00F07170">
        <w:rPr>
          <w:lang w:val="fr-CA"/>
        </w:rPr>
        <w:t xml:space="preserve">adaptabilité avant de suivre les </w:t>
      </w:r>
      <w:r w:rsidR="001119A5" w:rsidRPr="00F07170">
        <w:rPr>
          <w:lang w:val="fr-CA"/>
        </w:rPr>
        <w:t>cours</w:t>
      </w:r>
      <w:r w:rsidR="000632CA" w:rsidRPr="00F07170">
        <w:rPr>
          <w:lang w:val="fr-CA"/>
        </w:rPr>
        <w:t xml:space="preserve"> </w:t>
      </w:r>
      <w:r w:rsidR="006438CF" w:rsidRPr="00F07170">
        <w:rPr>
          <w:lang w:val="fr-CA"/>
        </w:rPr>
        <w:t>en ligne sur cette compétence</w:t>
      </w:r>
      <w:r w:rsidR="00391BBE" w:rsidRPr="00F07170">
        <w:rPr>
          <w:lang w:val="fr-CA"/>
        </w:rPr>
        <w:t xml:space="preserve">, </w:t>
      </w:r>
      <w:r w:rsidR="006438CF" w:rsidRPr="00F07170">
        <w:rPr>
          <w:lang w:val="fr-CA"/>
        </w:rPr>
        <w:t xml:space="preserve">alors que la moyenne </w:t>
      </w:r>
      <w:r w:rsidR="00DB69F5" w:rsidRPr="00F07170">
        <w:rPr>
          <w:lang w:val="fr-CA"/>
        </w:rPr>
        <w:t>grimpe</w:t>
      </w:r>
      <w:r w:rsidR="006438CF" w:rsidRPr="00F07170">
        <w:rPr>
          <w:lang w:val="fr-CA"/>
        </w:rPr>
        <w:t xml:space="preserve"> à </w:t>
      </w:r>
      <w:r w:rsidR="00391BBE" w:rsidRPr="00F07170">
        <w:rPr>
          <w:lang w:val="fr-CA"/>
        </w:rPr>
        <w:t>90,61 % après avoir suivi les cours</w:t>
      </w:r>
      <w:r w:rsidR="003A15ED" w:rsidRPr="00F07170">
        <w:rPr>
          <w:lang w:val="fr-CA"/>
        </w:rPr>
        <w:t xml:space="preserve">. </w:t>
      </w:r>
      <w:r w:rsidR="006438CF" w:rsidRPr="00F07170">
        <w:rPr>
          <w:lang w:val="fr-CA"/>
        </w:rPr>
        <w:t>Ce résultat indique qu’en moyenne, les participants estiment que leur capacité</w:t>
      </w:r>
      <w:r w:rsidR="00391BBE" w:rsidRPr="00F07170">
        <w:rPr>
          <w:lang w:val="fr-CA"/>
        </w:rPr>
        <w:t xml:space="preserve"> d</w:t>
      </w:r>
      <w:r w:rsidR="001407B6" w:rsidRPr="00F07170">
        <w:rPr>
          <w:lang w:val="fr-CA"/>
        </w:rPr>
        <w:t>’</w:t>
      </w:r>
      <w:r w:rsidR="00391BBE" w:rsidRPr="00F07170">
        <w:rPr>
          <w:lang w:val="fr-CA"/>
        </w:rPr>
        <w:t>adapta</w:t>
      </w:r>
      <w:r w:rsidR="006438CF" w:rsidRPr="00F07170">
        <w:rPr>
          <w:lang w:val="fr-CA"/>
        </w:rPr>
        <w:t>tion a</w:t>
      </w:r>
      <w:r w:rsidR="00E1455F" w:rsidRPr="00F07170">
        <w:rPr>
          <w:lang w:val="fr-CA"/>
        </w:rPr>
        <w:t xml:space="preserve"> augmenté de 17,74 points de pourcentage après avoir suivi les cours </w:t>
      </w:r>
      <w:r w:rsidR="006438CF" w:rsidRPr="00F07170">
        <w:rPr>
          <w:lang w:val="fr-CA"/>
        </w:rPr>
        <w:t>en ligne</w:t>
      </w:r>
      <w:r w:rsidR="00E1455F" w:rsidRPr="00F07170">
        <w:rPr>
          <w:lang w:val="fr-CA"/>
        </w:rPr>
        <w:t xml:space="preserve"> sur l</w:t>
      </w:r>
      <w:r w:rsidR="001407B6" w:rsidRPr="00F07170">
        <w:rPr>
          <w:lang w:val="fr-CA"/>
        </w:rPr>
        <w:t>’</w:t>
      </w:r>
      <w:r w:rsidR="00E1455F" w:rsidRPr="00F07170">
        <w:rPr>
          <w:lang w:val="fr-CA"/>
        </w:rPr>
        <w:t>adaptabilité</w:t>
      </w:r>
      <w:r w:rsidR="003A15ED" w:rsidRPr="00F07170">
        <w:rPr>
          <w:lang w:val="fr-CA"/>
        </w:rPr>
        <w:t>.</w:t>
      </w:r>
    </w:p>
    <w:p w14:paraId="56F8C3D7" w14:textId="77777777" w:rsidR="0046289E" w:rsidRPr="00F07170" w:rsidRDefault="0046289E" w:rsidP="0046289E">
      <w:pPr>
        <w:rPr>
          <w:lang w:val="fr-CA"/>
        </w:rPr>
      </w:pPr>
      <w:r w:rsidRPr="00F07170">
        <w:rPr>
          <w:lang w:val="fr-CA"/>
        </w:rPr>
        <w:t>Nous avons également appris que les employeurs ne reconnaissent pas toujours les compétences transférables des travailleurs.</w:t>
      </w:r>
    </w:p>
    <w:p w14:paraId="1C8EB8DC" w14:textId="4F04B9C2" w:rsidR="0046289E" w:rsidRPr="00F07170" w:rsidRDefault="00DD58CE" w:rsidP="0046289E">
      <w:pPr>
        <w:rPr>
          <w:lang w:val="fr-CA"/>
        </w:rPr>
      </w:pPr>
      <w:r w:rsidRPr="00F07170">
        <w:rPr>
          <w:lang w:val="fr-CA"/>
        </w:rPr>
        <w:t>I</w:t>
      </w:r>
      <w:r w:rsidR="0046289E" w:rsidRPr="00F07170">
        <w:rPr>
          <w:lang w:val="fr-CA"/>
        </w:rPr>
        <w:t xml:space="preserve">ls ont </w:t>
      </w:r>
      <w:r w:rsidRPr="00F07170">
        <w:rPr>
          <w:lang w:val="fr-CA"/>
        </w:rPr>
        <w:t xml:space="preserve">parfois </w:t>
      </w:r>
      <w:r w:rsidR="0046289E" w:rsidRPr="00F07170">
        <w:rPr>
          <w:lang w:val="fr-CA"/>
        </w:rPr>
        <w:t xml:space="preserve">des idées fausses et des préjugés, comme </w:t>
      </w:r>
      <w:r w:rsidRPr="00F07170">
        <w:rPr>
          <w:lang w:val="fr-CA"/>
        </w:rPr>
        <w:t xml:space="preserve">ne pas faire de distinction entre tous les </w:t>
      </w:r>
      <w:r w:rsidR="008E0969" w:rsidRPr="00F07170">
        <w:rPr>
          <w:lang w:val="fr-CA"/>
        </w:rPr>
        <w:t>travailleurs en situation de handicap</w:t>
      </w:r>
      <w:r w:rsidR="0046289E" w:rsidRPr="00F07170">
        <w:rPr>
          <w:lang w:val="fr-CA"/>
        </w:rPr>
        <w:t xml:space="preserve">. Par exemple, les </w:t>
      </w:r>
      <w:r w:rsidRPr="00F07170">
        <w:rPr>
          <w:lang w:val="fr-CA"/>
        </w:rPr>
        <w:t>fournisseurs</w:t>
      </w:r>
      <w:r w:rsidR="0046289E" w:rsidRPr="00F07170">
        <w:rPr>
          <w:lang w:val="fr-CA"/>
        </w:rPr>
        <w:t xml:space="preserve"> de services ont </w:t>
      </w:r>
      <w:r w:rsidRPr="00F07170">
        <w:rPr>
          <w:lang w:val="fr-CA"/>
        </w:rPr>
        <w:t xml:space="preserve">mentionné </w:t>
      </w:r>
      <w:r w:rsidR="0046289E" w:rsidRPr="00F07170">
        <w:rPr>
          <w:lang w:val="fr-CA"/>
        </w:rPr>
        <w:t xml:space="preserve">que certains employeurs pensent que les </w:t>
      </w:r>
      <w:r w:rsidR="008E0969" w:rsidRPr="00F07170">
        <w:rPr>
          <w:lang w:val="fr-CA"/>
        </w:rPr>
        <w:t>travailleurs en situation de handicap</w:t>
      </w:r>
      <w:r w:rsidR="0046289E" w:rsidRPr="00F07170">
        <w:rPr>
          <w:lang w:val="fr-CA"/>
        </w:rPr>
        <w:t xml:space="preserve"> ne </w:t>
      </w:r>
      <w:r w:rsidRPr="00F07170">
        <w:rPr>
          <w:lang w:val="fr-CA"/>
        </w:rPr>
        <w:t>peuvent</w:t>
      </w:r>
      <w:r w:rsidR="0046289E" w:rsidRPr="00F07170">
        <w:rPr>
          <w:lang w:val="fr-CA"/>
        </w:rPr>
        <w:t xml:space="preserve"> résoudre des problèmes ou trouver de nouvelles idées.</w:t>
      </w:r>
    </w:p>
    <w:p w14:paraId="48F4574E" w14:textId="429A1B98" w:rsidR="00D05558" w:rsidRPr="00F07170" w:rsidRDefault="0046289E" w:rsidP="0046289E">
      <w:pPr>
        <w:rPr>
          <w:lang w:val="fr-CA"/>
        </w:rPr>
      </w:pPr>
      <w:r w:rsidRPr="00F07170">
        <w:rPr>
          <w:lang w:val="fr-CA"/>
        </w:rPr>
        <w:t xml:space="preserve">Pour libérer </w:t>
      </w:r>
      <w:r w:rsidR="00DD58CE" w:rsidRPr="00F07170">
        <w:rPr>
          <w:lang w:val="fr-CA"/>
        </w:rPr>
        <w:t>tout c</w:t>
      </w:r>
      <w:r w:rsidRPr="00F07170">
        <w:rPr>
          <w:lang w:val="fr-CA"/>
        </w:rPr>
        <w:t>e potentiel, il est essentiel d</w:t>
      </w:r>
      <w:r w:rsidR="001407B6" w:rsidRPr="00F07170">
        <w:rPr>
          <w:lang w:val="fr-CA"/>
        </w:rPr>
        <w:t>’</w:t>
      </w:r>
      <w:r w:rsidRPr="00F07170">
        <w:rPr>
          <w:lang w:val="fr-CA"/>
        </w:rPr>
        <w:t>éliminer ces idées fausses et de reconnaître les forces uniques de chaque employé.</w:t>
      </w:r>
    </w:p>
    <w:p w14:paraId="37F77673" w14:textId="6ECDDA53" w:rsidR="008501D5" w:rsidRPr="00F07170" w:rsidRDefault="008501D5">
      <w:pPr>
        <w:rPr>
          <w:lang w:val="fr-CA"/>
        </w:rPr>
      </w:pPr>
      <w:r w:rsidRPr="00F07170">
        <w:rPr>
          <w:lang w:val="fr-CA"/>
        </w:rPr>
        <w:br w:type="page"/>
      </w:r>
    </w:p>
    <w:p w14:paraId="2AFA6080" w14:textId="43DFB160" w:rsidR="009D6C80" w:rsidRPr="00F07170" w:rsidRDefault="00CA143E" w:rsidP="00656283">
      <w:pPr>
        <w:pStyle w:val="Heading2"/>
        <w:rPr>
          <w:lang w:val="fr-CA"/>
        </w:rPr>
      </w:pPr>
      <w:bookmarkStart w:id="7" w:name="_Toc191281432"/>
      <w:r w:rsidRPr="00F07170">
        <w:rPr>
          <w:lang w:val="fr-CA"/>
        </w:rPr>
        <w:lastRenderedPageBreak/>
        <w:t>Perception</w:t>
      </w:r>
      <w:r w:rsidR="00D03398" w:rsidRPr="00F07170">
        <w:rPr>
          <w:lang w:val="fr-CA"/>
        </w:rPr>
        <w:t xml:space="preserve"> 3 : </w:t>
      </w:r>
      <w:r w:rsidR="009D78C0" w:rsidRPr="00F07170">
        <w:rPr>
          <w:lang w:val="fr-CA"/>
        </w:rPr>
        <w:t xml:space="preserve">La </w:t>
      </w:r>
      <w:r w:rsidR="000B627D" w:rsidRPr="00F07170">
        <w:rPr>
          <w:lang w:val="fr-CA"/>
        </w:rPr>
        <w:t xml:space="preserve">créativité </w:t>
      </w:r>
      <w:r w:rsidR="00082E3F" w:rsidRPr="00F07170">
        <w:rPr>
          <w:lang w:val="fr-CA"/>
        </w:rPr>
        <w:t>et l</w:t>
      </w:r>
      <w:r w:rsidR="001407B6" w:rsidRPr="00F07170">
        <w:rPr>
          <w:lang w:val="fr-CA"/>
        </w:rPr>
        <w:t>’</w:t>
      </w:r>
      <w:r w:rsidR="00082E3F" w:rsidRPr="00F07170">
        <w:rPr>
          <w:lang w:val="fr-CA"/>
        </w:rPr>
        <w:t>innovation</w:t>
      </w:r>
      <w:r w:rsidR="00DD58CE" w:rsidRPr="00F07170">
        <w:rPr>
          <w:lang w:val="fr-CA"/>
        </w:rPr>
        <w:t> : des avantages</w:t>
      </w:r>
      <w:r w:rsidR="00082E3F" w:rsidRPr="00F07170">
        <w:rPr>
          <w:lang w:val="fr-CA"/>
        </w:rPr>
        <w:t xml:space="preserve"> méconnus.</w:t>
      </w:r>
      <w:bookmarkEnd w:id="7"/>
    </w:p>
    <w:p w14:paraId="5B78DC91" w14:textId="448FF440" w:rsidR="00BF2B2E" w:rsidRPr="00F07170" w:rsidRDefault="00D85919" w:rsidP="00803F9A">
      <w:pPr>
        <w:rPr>
          <w:lang w:val="fr-CA"/>
        </w:rPr>
      </w:pPr>
      <w:r w:rsidRPr="00F07170">
        <w:rPr>
          <w:lang w:val="fr-CA"/>
        </w:rPr>
        <w:t xml:space="preserve">De nombreux </w:t>
      </w:r>
      <w:r w:rsidR="00677296" w:rsidRPr="00F07170">
        <w:rPr>
          <w:lang w:val="fr-CA"/>
        </w:rPr>
        <w:t>demandeurs d</w:t>
      </w:r>
      <w:r w:rsidR="001407B6" w:rsidRPr="00F07170">
        <w:rPr>
          <w:lang w:val="fr-CA"/>
        </w:rPr>
        <w:t>’</w:t>
      </w:r>
      <w:r w:rsidR="00677296" w:rsidRPr="00F07170">
        <w:rPr>
          <w:lang w:val="fr-CA"/>
        </w:rPr>
        <w:t xml:space="preserve">emploi se sentent créatifs, mais </w:t>
      </w:r>
      <w:r w:rsidR="00BF2B2E" w:rsidRPr="00F07170">
        <w:rPr>
          <w:lang w:val="fr-CA"/>
        </w:rPr>
        <w:t>seulement la moitié d</w:t>
      </w:r>
      <w:r w:rsidR="001407B6" w:rsidRPr="00F07170">
        <w:rPr>
          <w:lang w:val="fr-CA"/>
        </w:rPr>
        <w:t>’</w:t>
      </w:r>
      <w:r w:rsidR="00BF2B2E" w:rsidRPr="00F07170">
        <w:rPr>
          <w:lang w:val="fr-CA"/>
        </w:rPr>
        <w:t xml:space="preserve">entre eux pensent que les </w:t>
      </w:r>
      <w:r w:rsidR="00720E8C" w:rsidRPr="00F07170">
        <w:rPr>
          <w:lang w:val="fr-CA"/>
        </w:rPr>
        <w:t xml:space="preserve">employeurs </w:t>
      </w:r>
      <w:r w:rsidR="00DD58CE" w:rsidRPr="00F07170">
        <w:rPr>
          <w:lang w:val="fr-CA"/>
        </w:rPr>
        <w:t xml:space="preserve">valorisent </w:t>
      </w:r>
      <w:r w:rsidR="00DB69F5" w:rsidRPr="00F07170">
        <w:rPr>
          <w:lang w:val="fr-CA"/>
        </w:rPr>
        <w:t>c</w:t>
      </w:r>
      <w:r w:rsidR="00DD58CE" w:rsidRPr="00F07170">
        <w:rPr>
          <w:lang w:val="fr-CA"/>
        </w:rPr>
        <w:t xml:space="preserve">es </w:t>
      </w:r>
      <w:r w:rsidR="00BF2B2E" w:rsidRPr="00F07170">
        <w:rPr>
          <w:lang w:val="fr-CA"/>
        </w:rPr>
        <w:t>compétences.</w:t>
      </w:r>
    </w:p>
    <w:p w14:paraId="022DB95F" w14:textId="18227EB9" w:rsidR="00C04620" w:rsidRPr="00F07170" w:rsidRDefault="00C04620" w:rsidP="00C04620">
      <w:pPr>
        <w:rPr>
          <w:lang w:val="fr-CA"/>
        </w:rPr>
      </w:pPr>
      <w:r w:rsidRPr="00F07170">
        <w:rPr>
          <w:lang w:val="fr-CA"/>
        </w:rPr>
        <w:t xml:space="preserve">Les compétences en créativité et </w:t>
      </w:r>
      <w:r w:rsidR="00720E8C" w:rsidRPr="00F07170">
        <w:rPr>
          <w:lang w:val="fr-CA"/>
        </w:rPr>
        <w:t xml:space="preserve">en </w:t>
      </w:r>
      <w:r w:rsidRPr="00F07170">
        <w:rPr>
          <w:lang w:val="fr-CA"/>
        </w:rPr>
        <w:t xml:space="preserve">innovation aident les individus à trouver de nouvelles idées et </w:t>
      </w:r>
      <w:r w:rsidR="00720E8C" w:rsidRPr="00F07170">
        <w:rPr>
          <w:lang w:val="fr-CA"/>
        </w:rPr>
        <w:t xml:space="preserve">à élaborer </w:t>
      </w:r>
      <w:r w:rsidRPr="00F07170">
        <w:rPr>
          <w:lang w:val="fr-CA"/>
        </w:rPr>
        <w:t xml:space="preserve">de nouveaux plans. Les personnes très créatives </w:t>
      </w:r>
      <w:r w:rsidR="00720E8C" w:rsidRPr="00F07170">
        <w:rPr>
          <w:lang w:val="fr-CA"/>
        </w:rPr>
        <w:t>sont en mesure de</w:t>
      </w:r>
      <w:r w:rsidRPr="00F07170">
        <w:rPr>
          <w:lang w:val="fr-CA"/>
        </w:rPr>
        <w:t xml:space="preserve"> lier différents concepts, </w:t>
      </w:r>
      <w:r w:rsidR="00720E8C" w:rsidRPr="00F07170">
        <w:rPr>
          <w:lang w:val="fr-CA"/>
        </w:rPr>
        <w:t>intégrer</w:t>
      </w:r>
      <w:r w:rsidRPr="00F07170">
        <w:rPr>
          <w:lang w:val="fr-CA"/>
        </w:rPr>
        <w:t xml:space="preserve"> des </w:t>
      </w:r>
      <w:r w:rsidR="00720E8C" w:rsidRPr="00F07170">
        <w:rPr>
          <w:lang w:val="fr-CA"/>
        </w:rPr>
        <w:t>renseignements qui</w:t>
      </w:r>
      <w:r w:rsidRPr="00F07170">
        <w:rPr>
          <w:lang w:val="fr-CA"/>
        </w:rPr>
        <w:t xml:space="preserve"> prov</w:t>
      </w:r>
      <w:r w:rsidR="00720E8C" w:rsidRPr="00F07170">
        <w:rPr>
          <w:lang w:val="fr-CA"/>
        </w:rPr>
        <w:t>iennent</w:t>
      </w:r>
      <w:r w:rsidRPr="00F07170">
        <w:rPr>
          <w:lang w:val="fr-CA"/>
        </w:rPr>
        <w:t xml:space="preserve"> de différentes sources et trouver de</w:t>
      </w:r>
      <w:r w:rsidR="00720E8C" w:rsidRPr="00F07170">
        <w:rPr>
          <w:lang w:val="fr-CA"/>
        </w:rPr>
        <w:t xml:space="preserve"> nouvelles ou meilleures manières </w:t>
      </w:r>
      <w:r w:rsidRPr="00F07170">
        <w:rPr>
          <w:lang w:val="fr-CA"/>
        </w:rPr>
        <w:t>de faire les choses. Malgré ce</w:t>
      </w:r>
      <w:r w:rsidR="005A3C26" w:rsidRPr="00F07170">
        <w:rPr>
          <w:lang w:val="fr-CA"/>
        </w:rPr>
        <w:t>tte évidence</w:t>
      </w:r>
      <w:r w:rsidRPr="00F07170">
        <w:rPr>
          <w:lang w:val="fr-CA"/>
        </w:rPr>
        <w:t>, seuls 56 % des demandeurs d</w:t>
      </w:r>
      <w:r w:rsidR="001407B6" w:rsidRPr="00F07170">
        <w:rPr>
          <w:lang w:val="fr-CA"/>
        </w:rPr>
        <w:t>’</w:t>
      </w:r>
      <w:r w:rsidRPr="00F07170">
        <w:rPr>
          <w:lang w:val="fr-CA"/>
        </w:rPr>
        <w:t xml:space="preserve">emploi </w:t>
      </w:r>
      <w:r w:rsidR="00720E8C" w:rsidRPr="00F07170">
        <w:rPr>
          <w:lang w:val="fr-CA"/>
        </w:rPr>
        <w:t xml:space="preserve">qui ont </w:t>
      </w:r>
      <w:r w:rsidRPr="00F07170">
        <w:rPr>
          <w:lang w:val="fr-CA"/>
        </w:rPr>
        <w:t>particip</w:t>
      </w:r>
      <w:r w:rsidR="00720E8C" w:rsidRPr="00F07170">
        <w:rPr>
          <w:lang w:val="fr-CA"/>
        </w:rPr>
        <w:t>é à l’enquête</w:t>
      </w:r>
      <w:r w:rsidRPr="00F07170">
        <w:rPr>
          <w:lang w:val="fr-CA"/>
        </w:rPr>
        <w:t xml:space="preserve"> pensent que les employeurs valorisent la créativité, et certains pensent que les employeurs la découragent activement.</w:t>
      </w:r>
    </w:p>
    <w:p w14:paraId="2AC048DE" w14:textId="06965C2A" w:rsidR="00C04620" w:rsidRPr="00F07170" w:rsidRDefault="00C04620" w:rsidP="00C04620">
      <w:pPr>
        <w:rPr>
          <w:lang w:val="fr-CA"/>
        </w:rPr>
      </w:pPr>
      <w:r w:rsidRPr="00F07170">
        <w:rPr>
          <w:lang w:val="fr-CA"/>
        </w:rPr>
        <w:t>Les employeurs avec lesquels nous nous sommes entretenus avaient des avis divergents. Certains estimaient que l</w:t>
      </w:r>
      <w:r w:rsidR="005A3C26" w:rsidRPr="00F07170">
        <w:rPr>
          <w:lang w:val="fr-CA"/>
        </w:rPr>
        <w:t xml:space="preserve">’utilisation </w:t>
      </w:r>
      <w:r w:rsidRPr="00F07170">
        <w:rPr>
          <w:lang w:val="fr-CA"/>
        </w:rPr>
        <w:t xml:space="preserve">de processus </w:t>
      </w:r>
      <w:r w:rsidR="005A3C26" w:rsidRPr="00F07170">
        <w:rPr>
          <w:lang w:val="fr-CA"/>
        </w:rPr>
        <w:t>dans le mi</w:t>
      </w:r>
      <w:r w:rsidRPr="00F07170">
        <w:rPr>
          <w:lang w:val="fr-CA"/>
        </w:rPr>
        <w:t xml:space="preserve">lieu de travail rendait la créativité inutile, voire indésirable. </w:t>
      </w:r>
      <w:r w:rsidR="005A3C26" w:rsidRPr="00F07170">
        <w:rPr>
          <w:lang w:val="fr-CA"/>
        </w:rPr>
        <w:t>On reconnaît toutefois que</w:t>
      </w:r>
      <w:r w:rsidRPr="00F07170">
        <w:rPr>
          <w:lang w:val="fr-CA"/>
        </w:rPr>
        <w:t xml:space="preserve"> les compétences requises varient selon les secteurs et les fonctions. Les employeurs de secteurs axés sur les processus, comme l</w:t>
      </w:r>
      <w:r w:rsidR="001407B6" w:rsidRPr="00F07170">
        <w:rPr>
          <w:lang w:val="fr-CA"/>
        </w:rPr>
        <w:t>’</w:t>
      </w:r>
      <w:r w:rsidRPr="00F07170">
        <w:rPr>
          <w:lang w:val="fr-CA"/>
        </w:rPr>
        <w:t xml:space="preserve">industrie manufacturière, ou ceux qui </w:t>
      </w:r>
      <w:r w:rsidR="005A3C26" w:rsidRPr="00F07170">
        <w:rPr>
          <w:lang w:val="fr-CA"/>
        </w:rPr>
        <w:t>gèrent</w:t>
      </w:r>
      <w:r w:rsidRPr="00F07170">
        <w:rPr>
          <w:lang w:val="fr-CA"/>
        </w:rPr>
        <w:t xml:space="preserve"> des travailleurs débutants chargés de tâches routinières, accordent moins d</w:t>
      </w:r>
      <w:r w:rsidR="001407B6" w:rsidRPr="00F07170">
        <w:rPr>
          <w:lang w:val="fr-CA"/>
        </w:rPr>
        <w:t>’</w:t>
      </w:r>
      <w:r w:rsidRPr="00F07170">
        <w:rPr>
          <w:lang w:val="fr-CA"/>
        </w:rPr>
        <w:t>importance à la créativité. En revanche, les employeurs qui valorisent la créativité reconnaissent que les travailleurs créatifs peuvent améliorer les processus ou fournir un meilleur service à la clientèle.</w:t>
      </w:r>
    </w:p>
    <w:p w14:paraId="1F0E4E99" w14:textId="58BC3F13" w:rsidR="00C04620" w:rsidRPr="00F07170" w:rsidRDefault="00C04620" w:rsidP="00C04620">
      <w:pPr>
        <w:rPr>
          <w:lang w:val="fr-CA"/>
        </w:rPr>
      </w:pPr>
      <w:r w:rsidRPr="00F07170">
        <w:rPr>
          <w:lang w:val="fr-CA"/>
        </w:rPr>
        <w:t xml:space="preserve">Pourquoi </w:t>
      </w:r>
      <w:r w:rsidR="00791700" w:rsidRPr="00F07170">
        <w:rPr>
          <w:lang w:val="fr-CA"/>
        </w:rPr>
        <w:t xml:space="preserve">valorise-t-on moins </w:t>
      </w:r>
      <w:r w:rsidRPr="00F07170">
        <w:rPr>
          <w:lang w:val="fr-CA"/>
        </w:rPr>
        <w:t xml:space="preserve">les compétences en créativité? Un employeur a estimé que la résistance </w:t>
      </w:r>
      <w:r w:rsidR="00791700" w:rsidRPr="00F07170">
        <w:rPr>
          <w:lang w:val="fr-CA"/>
        </w:rPr>
        <w:t xml:space="preserve">au changement </w:t>
      </w:r>
      <w:r w:rsidRPr="00F07170">
        <w:rPr>
          <w:lang w:val="fr-CA"/>
        </w:rPr>
        <w:t>rend</w:t>
      </w:r>
      <w:r w:rsidR="00791700" w:rsidRPr="00F07170">
        <w:rPr>
          <w:lang w:val="fr-CA"/>
        </w:rPr>
        <w:t>ait certains employeurs</w:t>
      </w:r>
      <w:r w:rsidRPr="00F07170">
        <w:rPr>
          <w:lang w:val="fr-CA"/>
        </w:rPr>
        <w:t xml:space="preserve"> réticents à accueillir de nouvelles idées. </w:t>
      </w:r>
      <w:r w:rsidR="00791700" w:rsidRPr="00F07170">
        <w:rPr>
          <w:lang w:val="fr-CA"/>
        </w:rPr>
        <w:t>Pour d’autres personnes, la « </w:t>
      </w:r>
      <w:r w:rsidRPr="00F07170">
        <w:rPr>
          <w:lang w:val="fr-CA"/>
        </w:rPr>
        <w:t>créativité</w:t>
      </w:r>
      <w:r w:rsidR="00791700" w:rsidRPr="00F07170">
        <w:rPr>
          <w:lang w:val="fr-CA"/>
        </w:rPr>
        <w:t> »</w:t>
      </w:r>
      <w:r w:rsidRPr="00F07170">
        <w:rPr>
          <w:lang w:val="fr-CA"/>
        </w:rPr>
        <w:t xml:space="preserve"> évoque des emplois dans les domaines de l</w:t>
      </w:r>
      <w:r w:rsidR="001407B6" w:rsidRPr="00F07170">
        <w:rPr>
          <w:lang w:val="fr-CA"/>
        </w:rPr>
        <w:t>’</w:t>
      </w:r>
      <w:r w:rsidRPr="00F07170">
        <w:rPr>
          <w:lang w:val="fr-CA"/>
        </w:rPr>
        <w:t>art, d</w:t>
      </w:r>
      <w:r w:rsidR="00791700" w:rsidRPr="00F07170">
        <w:rPr>
          <w:lang w:val="fr-CA"/>
        </w:rPr>
        <w:t>e la conception</w:t>
      </w:r>
      <w:r w:rsidRPr="00F07170">
        <w:rPr>
          <w:lang w:val="fr-CA"/>
        </w:rPr>
        <w:t xml:space="preserve"> et du marketing. Or, la capacité à trouver de nouvelles idées et à sortir des sentiers battus constitue un avantage concurrentiel et un facteur de productivité dans presque tous les </w:t>
      </w:r>
      <w:r w:rsidR="00DB69F5" w:rsidRPr="00F07170">
        <w:rPr>
          <w:lang w:val="fr-CA"/>
        </w:rPr>
        <w:t>secteurs</w:t>
      </w:r>
      <w:r w:rsidRPr="00F07170">
        <w:rPr>
          <w:lang w:val="fr-CA"/>
        </w:rPr>
        <w:t xml:space="preserve">. </w:t>
      </w:r>
      <w:r w:rsidR="00791700" w:rsidRPr="00F07170">
        <w:rPr>
          <w:lang w:val="fr-CA"/>
        </w:rPr>
        <w:t>Par ailleurs</w:t>
      </w:r>
      <w:r w:rsidRPr="00F07170">
        <w:rPr>
          <w:lang w:val="fr-CA"/>
        </w:rPr>
        <w:t>,</w:t>
      </w:r>
      <w:r w:rsidR="00791700" w:rsidRPr="00F07170">
        <w:rPr>
          <w:lang w:val="fr-CA"/>
        </w:rPr>
        <w:t xml:space="preserve"> </w:t>
      </w:r>
      <w:r w:rsidRPr="00F07170">
        <w:rPr>
          <w:lang w:val="fr-CA"/>
        </w:rPr>
        <w:t>de nombreux participants avec lesquels nous nous sommes entretenus</w:t>
      </w:r>
      <w:r w:rsidR="00791700" w:rsidRPr="00F07170">
        <w:rPr>
          <w:lang w:val="fr-CA"/>
        </w:rPr>
        <w:t xml:space="preserve"> considèrent que</w:t>
      </w:r>
      <w:r w:rsidRPr="00F07170">
        <w:rPr>
          <w:lang w:val="fr-CA"/>
        </w:rPr>
        <w:t xml:space="preserve"> la résolution de problèmes et la créativité </w:t>
      </w:r>
      <w:r w:rsidR="00791700" w:rsidRPr="00F07170">
        <w:rPr>
          <w:lang w:val="fr-CA"/>
        </w:rPr>
        <w:t>vont de pair</w:t>
      </w:r>
      <w:r w:rsidRPr="00F07170">
        <w:rPr>
          <w:lang w:val="fr-CA"/>
        </w:rPr>
        <w:t>.</w:t>
      </w:r>
    </w:p>
    <w:p w14:paraId="75EC858E" w14:textId="707DAAE1" w:rsidR="00C04620" w:rsidRPr="00F07170" w:rsidRDefault="00C04620" w:rsidP="00C04620">
      <w:pPr>
        <w:rPr>
          <w:lang w:val="fr-CA"/>
        </w:rPr>
      </w:pPr>
      <w:r w:rsidRPr="00F07170">
        <w:rPr>
          <w:lang w:val="fr-CA"/>
        </w:rPr>
        <w:t xml:space="preserve">De nombreux </w:t>
      </w:r>
      <w:r w:rsidR="0070292C" w:rsidRPr="00F07170">
        <w:rPr>
          <w:lang w:val="fr-CA"/>
        </w:rPr>
        <w:t>demandeurs d’emploi en situation de handicap</w:t>
      </w:r>
      <w:r w:rsidRPr="00F07170">
        <w:rPr>
          <w:lang w:val="fr-CA"/>
        </w:rPr>
        <w:t xml:space="preserve"> se décrivent comme des personnes très créatives. La promotion de ces compétences </w:t>
      </w:r>
      <w:r w:rsidR="00791700" w:rsidRPr="00F07170">
        <w:rPr>
          <w:lang w:val="fr-CA"/>
        </w:rPr>
        <w:t xml:space="preserve">dans </w:t>
      </w:r>
      <w:r w:rsidRPr="00F07170">
        <w:rPr>
          <w:lang w:val="fr-CA"/>
        </w:rPr>
        <w:t xml:space="preserve">le </w:t>
      </w:r>
      <w:r w:rsidR="00791700" w:rsidRPr="00F07170">
        <w:rPr>
          <w:lang w:val="fr-CA"/>
        </w:rPr>
        <w:t>mi</w:t>
      </w:r>
      <w:r w:rsidRPr="00F07170">
        <w:rPr>
          <w:lang w:val="fr-CA"/>
        </w:rPr>
        <w:t xml:space="preserve">lieu de travail peut </w:t>
      </w:r>
      <w:r w:rsidR="00FB70C6" w:rsidRPr="00F07170">
        <w:rPr>
          <w:lang w:val="fr-CA"/>
        </w:rPr>
        <w:t>entraîner le développement</w:t>
      </w:r>
      <w:r w:rsidRPr="00F07170">
        <w:rPr>
          <w:lang w:val="fr-CA"/>
        </w:rPr>
        <w:t xml:space="preserve"> de nouveaux produits, services et stratégies commerciales. La créativité améliore </w:t>
      </w:r>
      <w:r w:rsidR="00FB70C6" w:rsidRPr="00F07170">
        <w:rPr>
          <w:lang w:val="fr-CA"/>
        </w:rPr>
        <w:t>aussi</w:t>
      </w:r>
      <w:r w:rsidRPr="00F07170">
        <w:rPr>
          <w:lang w:val="fr-CA"/>
        </w:rPr>
        <w:t xml:space="preserve"> l</w:t>
      </w:r>
      <w:r w:rsidR="001407B6" w:rsidRPr="00F07170">
        <w:rPr>
          <w:lang w:val="fr-CA"/>
        </w:rPr>
        <w:t>’</w:t>
      </w:r>
      <w:r w:rsidRPr="00F07170">
        <w:rPr>
          <w:lang w:val="fr-CA"/>
        </w:rPr>
        <w:t xml:space="preserve">efficacité </w:t>
      </w:r>
      <w:r w:rsidR="00FB70C6" w:rsidRPr="00F07170">
        <w:rPr>
          <w:lang w:val="fr-CA"/>
        </w:rPr>
        <w:t>–</w:t>
      </w:r>
      <w:r w:rsidRPr="00F07170">
        <w:rPr>
          <w:lang w:val="fr-CA"/>
        </w:rPr>
        <w:t xml:space="preserve"> l</w:t>
      </w:r>
      <w:r w:rsidR="00FB70C6" w:rsidRPr="00F07170">
        <w:rPr>
          <w:lang w:val="fr-CA"/>
        </w:rPr>
        <w:t>e fait d’</w:t>
      </w:r>
      <w:r w:rsidRPr="00F07170">
        <w:rPr>
          <w:lang w:val="fr-CA"/>
        </w:rPr>
        <w:t>amélior</w:t>
      </w:r>
      <w:r w:rsidR="00FB70C6" w:rsidRPr="00F07170">
        <w:rPr>
          <w:lang w:val="fr-CA"/>
        </w:rPr>
        <w:t>er</w:t>
      </w:r>
      <w:r w:rsidRPr="00F07170">
        <w:rPr>
          <w:lang w:val="fr-CA"/>
        </w:rPr>
        <w:t xml:space="preserve"> </w:t>
      </w:r>
      <w:r w:rsidR="00FB70C6" w:rsidRPr="00F07170">
        <w:rPr>
          <w:lang w:val="fr-CA"/>
        </w:rPr>
        <w:t>l</w:t>
      </w:r>
      <w:r w:rsidRPr="00F07170">
        <w:rPr>
          <w:lang w:val="fr-CA"/>
        </w:rPr>
        <w:t>es proce</w:t>
      </w:r>
      <w:r w:rsidR="00791700" w:rsidRPr="00F07170">
        <w:rPr>
          <w:lang w:val="fr-CA"/>
        </w:rPr>
        <w:t>ssus peut aider les employés à « </w:t>
      </w:r>
      <w:r w:rsidRPr="00F07170">
        <w:rPr>
          <w:lang w:val="fr-CA"/>
        </w:rPr>
        <w:t xml:space="preserve">travailler </w:t>
      </w:r>
      <w:r w:rsidR="00FB70C6" w:rsidRPr="00F07170">
        <w:rPr>
          <w:lang w:val="fr-CA"/>
        </w:rPr>
        <w:t xml:space="preserve">de manière plus </w:t>
      </w:r>
      <w:r w:rsidRPr="00F07170">
        <w:rPr>
          <w:lang w:val="fr-CA"/>
        </w:rPr>
        <w:t>intellige</w:t>
      </w:r>
      <w:r w:rsidR="00FB70C6" w:rsidRPr="00F07170">
        <w:rPr>
          <w:lang w:val="fr-CA"/>
        </w:rPr>
        <w:t>nte</w:t>
      </w:r>
      <w:r w:rsidRPr="00F07170">
        <w:rPr>
          <w:lang w:val="fr-CA"/>
        </w:rPr>
        <w:t xml:space="preserve">, </w:t>
      </w:r>
      <w:r w:rsidR="00FB70C6" w:rsidRPr="00F07170">
        <w:rPr>
          <w:lang w:val="fr-CA"/>
        </w:rPr>
        <w:t>plutôt que plus fort</w:t>
      </w:r>
      <w:r w:rsidR="00791700" w:rsidRPr="00F07170">
        <w:rPr>
          <w:lang w:val="fr-CA"/>
        </w:rPr>
        <w:t> »</w:t>
      </w:r>
      <w:r w:rsidRPr="00F07170">
        <w:rPr>
          <w:lang w:val="fr-CA"/>
        </w:rPr>
        <w:t xml:space="preserve">. </w:t>
      </w:r>
      <w:r w:rsidR="00FB70C6" w:rsidRPr="00F07170">
        <w:rPr>
          <w:lang w:val="fr-CA"/>
        </w:rPr>
        <w:t>De plus, l</w:t>
      </w:r>
      <w:r w:rsidRPr="00F07170">
        <w:rPr>
          <w:lang w:val="fr-CA"/>
        </w:rPr>
        <w:t>a résolution de problèmes</w:t>
      </w:r>
      <w:r w:rsidR="00FB70C6" w:rsidRPr="00F07170">
        <w:rPr>
          <w:lang w:val="fr-CA"/>
        </w:rPr>
        <w:t xml:space="preserve"> repose souvent sur la créativité</w:t>
      </w:r>
      <w:r w:rsidRPr="00F07170">
        <w:rPr>
          <w:lang w:val="fr-CA"/>
        </w:rPr>
        <w:t xml:space="preserve">. Le changement et les défis </w:t>
      </w:r>
      <w:r w:rsidR="00FB70C6" w:rsidRPr="00F07170">
        <w:rPr>
          <w:lang w:val="fr-CA"/>
        </w:rPr>
        <w:t>existeront toujours, tant dans les</w:t>
      </w:r>
      <w:r w:rsidRPr="00F07170">
        <w:rPr>
          <w:lang w:val="fr-CA"/>
        </w:rPr>
        <w:t xml:space="preserve"> tâches quotidiennes </w:t>
      </w:r>
      <w:r w:rsidR="00FB70C6" w:rsidRPr="00F07170">
        <w:rPr>
          <w:lang w:val="fr-CA"/>
        </w:rPr>
        <w:t>que</w:t>
      </w:r>
      <w:r w:rsidRPr="00F07170">
        <w:rPr>
          <w:lang w:val="fr-CA"/>
        </w:rPr>
        <w:t xml:space="preserve"> </w:t>
      </w:r>
      <w:r w:rsidR="00FB70C6" w:rsidRPr="00F07170">
        <w:rPr>
          <w:lang w:val="fr-CA"/>
        </w:rPr>
        <w:t xml:space="preserve">dans </w:t>
      </w:r>
      <w:r w:rsidRPr="00F07170">
        <w:rPr>
          <w:lang w:val="fr-CA"/>
        </w:rPr>
        <w:t xml:space="preserve">la planification stratégique. </w:t>
      </w:r>
      <w:r w:rsidR="00FB70C6" w:rsidRPr="00F07170">
        <w:rPr>
          <w:lang w:val="fr-CA"/>
        </w:rPr>
        <w:t>Ils exigent d</w:t>
      </w:r>
      <w:r w:rsidRPr="00F07170">
        <w:rPr>
          <w:lang w:val="fr-CA"/>
        </w:rPr>
        <w:t>es travailleurs capables de trouver des solutions nouvelles et efficaces.</w:t>
      </w:r>
    </w:p>
    <w:p w14:paraId="13278A54" w14:textId="0A158BEC" w:rsidR="008501D5" w:rsidRPr="00F07170" w:rsidRDefault="008501D5">
      <w:pPr>
        <w:rPr>
          <w:lang w:val="fr-CA"/>
        </w:rPr>
      </w:pPr>
      <w:r w:rsidRPr="00F07170">
        <w:rPr>
          <w:lang w:val="fr-CA"/>
        </w:rPr>
        <w:br w:type="page"/>
      </w:r>
    </w:p>
    <w:p w14:paraId="549061C1" w14:textId="01C6F87B" w:rsidR="00B1541F" w:rsidRPr="00F07170" w:rsidRDefault="00B1541F" w:rsidP="00656283">
      <w:pPr>
        <w:pStyle w:val="Heading2"/>
        <w:rPr>
          <w:lang w:val="fr-CA"/>
        </w:rPr>
      </w:pPr>
      <w:bookmarkStart w:id="8" w:name="_Toc191281433"/>
      <w:r w:rsidRPr="00F07170">
        <w:rPr>
          <w:lang w:val="fr-CA"/>
        </w:rPr>
        <w:lastRenderedPageBreak/>
        <w:t xml:space="preserve">Comment les </w:t>
      </w:r>
      <w:r w:rsidR="00FB70C6" w:rsidRPr="00F07170">
        <w:rPr>
          <w:lang w:val="fr-CA"/>
        </w:rPr>
        <w:t>fournisseurs</w:t>
      </w:r>
      <w:r w:rsidRPr="00F07170">
        <w:rPr>
          <w:lang w:val="fr-CA"/>
        </w:rPr>
        <w:t xml:space="preserve"> de services </w:t>
      </w:r>
      <w:r w:rsidR="00FB70C6" w:rsidRPr="00F07170">
        <w:rPr>
          <w:lang w:val="fr-CA"/>
        </w:rPr>
        <w:t>d</w:t>
      </w:r>
      <w:r w:rsidR="00B108A1" w:rsidRPr="00F07170">
        <w:rPr>
          <w:lang w:val="fr-CA"/>
        </w:rPr>
        <w:t>e soutien à l</w:t>
      </w:r>
      <w:r w:rsidR="00FB70C6" w:rsidRPr="00F07170">
        <w:rPr>
          <w:lang w:val="fr-CA"/>
        </w:rPr>
        <w:t xml:space="preserve">’emploi </w:t>
      </w:r>
      <w:r w:rsidRPr="00F07170">
        <w:rPr>
          <w:lang w:val="fr-CA"/>
        </w:rPr>
        <w:t xml:space="preserve">peuvent-ils </w:t>
      </w:r>
      <w:r w:rsidR="00B108A1" w:rsidRPr="00F07170">
        <w:rPr>
          <w:lang w:val="fr-CA"/>
        </w:rPr>
        <w:t>aider au</w:t>
      </w:r>
      <w:r w:rsidRPr="00F07170">
        <w:rPr>
          <w:lang w:val="fr-CA"/>
        </w:rPr>
        <w:t xml:space="preserve"> développement de compétences transférables?</w:t>
      </w:r>
      <w:bookmarkEnd w:id="8"/>
    </w:p>
    <w:p w14:paraId="2372587C" w14:textId="7EC05C00" w:rsidR="008A7A93" w:rsidRPr="00F07170" w:rsidRDefault="00FB70C6" w:rsidP="008A7A93">
      <w:pPr>
        <w:rPr>
          <w:lang w:val="fr-CA"/>
        </w:rPr>
      </w:pPr>
      <w:r w:rsidRPr="00F07170">
        <w:rPr>
          <w:lang w:val="fr-CA"/>
        </w:rPr>
        <w:t>P</w:t>
      </w:r>
      <w:r w:rsidR="008A7A93" w:rsidRPr="00F07170">
        <w:rPr>
          <w:lang w:val="fr-CA"/>
        </w:rPr>
        <w:t>récieuses pour la productivité et l</w:t>
      </w:r>
      <w:r w:rsidR="001407B6" w:rsidRPr="00F07170">
        <w:rPr>
          <w:lang w:val="fr-CA"/>
        </w:rPr>
        <w:t>’</w:t>
      </w:r>
      <w:r w:rsidR="008A7A93" w:rsidRPr="00F07170">
        <w:rPr>
          <w:lang w:val="fr-CA"/>
        </w:rPr>
        <w:t xml:space="preserve">épanouissement </w:t>
      </w:r>
      <w:r w:rsidRPr="00F07170">
        <w:rPr>
          <w:lang w:val="fr-CA"/>
        </w:rPr>
        <w:t>dans</w:t>
      </w:r>
      <w:r w:rsidR="008A7A93" w:rsidRPr="00F07170">
        <w:rPr>
          <w:lang w:val="fr-CA"/>
        </w:rPr>
        <w:t xml:space="preserve"> le </w:t>
      </w:r>
      <w:r w:rsidRPr="00F07170">
        <w:rPr>
          <w:lang w:val="fr-CA"/>
        </w:rPr>
        <w:t>mi</w:t>
      </w:r>
      <w:r w:rsidR="008A7A93" w:rsidRPr="00F07170">
        <w:rPr>
          <w:lang w:val="fr-CA"/>
        </w:rPr>
        <w:t xml:space="preserve">lieu de travail, </w:t>
      </w:r>
      <w:r w:rsidRPr="00F07170">
        <w:rPr>
          <w:lang w:val="fr-CA"/>
        </w:rPr>
        <w:t xml:space="preserve">les cinq compétences transférables </w:t>
      </w:r>
      <w:r w:rsidR="008A7A93" w:rsidRPr="00F07170">
        <w:rPr>
          <w:lang w:val="fr-CA"/>
        </w:rPr>
        <w:t xml:space="preserve">améliorent </w:t>
      </w:r>
      <w:r w:rsidRPr="00F07170">
        <w:rPr>
          <w:lang w:val="fr-CA"/>
        </w:rPr>
        <w:t xml:space="preserve">également </w:t>
      </w:r>
      <w:r w:rsidR="008A7A93" w:rsidRPr="00F07170">
        <w:rPr>
          <w:lang w:val="fr-CA"/>
        </w:rPr>
        <w:t>l</w:t>
      </w:r>
      <w:r w:rsidR="001407B6" w:rsidRPr="00F07170">
        <w:rPr>
          <w:lang w:val="fr-CA"/>
        </w:rPr>
        <w:t>’</w:t>
      </w:r>
      <w:r w:rsidRPr="00F07170">
        <w:rPr>
          <w:lang w:val="fr-CA"/>
        </w:rPr>
        <w:t xml:space="preserve">aptitude au travail </w:t>
      </w:r>
      <w:r w:rsidR="008A7A93" w:rsidRPr="00F07170">
        <w:rPr>
          <w:lang w:val="fr-CA"/>
        </w:rPr>
        <w:t>des demandeurs d</w:t>
      </w:r>
      <w:r w:rsidR="001407B6" w:rsidRPr="00F07170">
        <w:rPr>
          <w:lang w:val="fr-CA"/>
        </w:rPr>
        <w:t>’</w:t>
      </w:r>
      <w:r w:rsidR="008A7A93" w:rsidRPr="00F07170">
        <w:rPr>
          <w:lang w:val="fr-CA"/>
        </w:rPr>
        <w:t xml:space="preserve">emploi. En aidant les </w:t>
      </w:r>
      <w:r w:rsidR="0070292C" w:rsidRPr="00F07170">
        <w:rPr>
          <w:lang w:val="fr-CA"/>
        </w:rPr>
        <w:t>demandeurs d’emploi en situation de handicap</w:t>
      </w:r>
      <w:r w:rsidR="008A7A93" w:rsidRPr="00F07170">
        <w:rPr>
          <w:lang w:val="fr-CA"/>
        </w:rPr>
        <w:t xml:space="preserve"> à développer leurs compétences transférables, les </w:t>
      </w:r>
      <w:r w:rsidRPr="00F07170">
        <w:rPr>
          <w:lang w:val="fr-CA"/>
        </w:rPr>
        <w:t>fournisseurs</w:t>
      </w:r>
      <w:r w:rsidR="008A7A93" w:rsidRPr="00F07170">
        <w:rPr>
          <w:lang w:val="fr-CA"/>
        </w:rPr>
        <w:t xml:space="preserve"> de services peuvent les aider à trouver et à conserver un emploi.</w:t>
      </w:r>
    </w:p>
    <w:p w14:paraId="05400013" w14:textId="0CDE6C35" w:rsidR="008A7A93" w:rsidRPr="00F07170" w:rsidRDefault="00036EC9" w:rsidP="008A7A93">
      <w:pPr>
        <w:rPr>
          <w:lang w:val="fr-CA"/>
        </w:rPr>
      </w:pPr>
      <w:r w:rsidRPr="00F07170">
        <w:rPr>
          <w:lang w:val="fr-CA"/>
        </w:rPr>
        <w:t>Le projet de recherche</w:t>
      </w:r>
      <w:r w:rsidR="008A7A93" w:rsidRPr="00F07170">
        <w:rPr>
          <w:lang w:val="fr-CA"/>
        </w:rPr>
        <w:t xml:space="preserve"> STEAM nous a</w:t>
      </w:r>
      <w:r w:rsidRPr="00F07170">
        <w:rPr>
          <w:lang w:val="fr-CA"/>
        </w:rPr>
        <w:t xml:space="preserve"> démontré</w:t>
      </w:r>
      <w:r w:rsidR="008A7A93" w:rsidRPr="00F07170">
        <w:rPr>
          <w:lang w:val="fr-CA"/>
        </w:rPr>
        <w:t xml:space="preserve"> que de solides compétences transférables </w:t>
      </w:r>
      <w:r w:rsidRPr="00F07170">
        <w:rPr>
          <w:lang w:val="fr-CA"/>
        </w:rPr>
        <w:t xml:space="preserve">contribuent de plusieurs manières à la </w:t>
      </w:r>
      <w:r w:rsidR="008A7A93" w:rsidRPr="00F07170">
        <w:rPr>
          <w:lang w:val="fr-CA"/>
        </w:rPr>
        <w:t>recherche d</w:t>
      </w:r>
      <w:r w:rsidR="001407B6" w:rsidRPr="00F07170">
        <w:rPr>
          <w:lang w:val="fr-CA"/>
        </w:rPr>
        <w:t>’</w:t>
      </w:r>
      <w:r w:rsidR="008A7A93" w:rsidRPr="00F07170">
        <w:rPr>
          <w:lang w:val="fr-CA"/>
        </w:rPr>
        <w:t>emploi</w:t>
      </w:r>
      <w:r w:rsidRPr="00F07170">
        <w:rPr>
          <w:lang w:val="fr-CA"/>
        </w:rPr>
        <w:t xml:space="preserve"> </w:t>
      </w:r>
      <w:r w:rsidR="008A7A93" w:rsidRPr="00F07170">
        <w:rPr>
          <w:lang w:val="fr-CA"/>
        </w:rPr>
        <w:t>:</w:t>
      </w:r>
    </w:p>
    <w:p w14:paraId="034F93E0" w14:textId="126AB232" w:rsidR="008A7A93" w:rsidRPr="00F07170" w:rsidRDefault="008A7A93" w:rsidP="008A7A93">
      <w:pPr>
        <w:pStyle w:val="ListParagraph"/>
        <w:numPr>
          <w:ilvl w:val="0"/>
          <w:numId w:val="14"/>
        </w:numPr>
        <w:rPr>
          <w:lang w:val="fr-CA"/>
        </w:rPr>
      </w:pPr>
      <w:r w:rsidRPr="00F07170">
        <w:rPr>
          <w:lang w:val="fr-CA"/>
        </w:rPr>
        <w:t>De solides compétences en communication aident les demandeurs d</w:t>
      </w:r>
      <w:r w:rsidR="001407B6" w:rsidRPr="00F07170">
        <w:rPr>
          <w:lang w:val="fr-CA"/>
        </w:rPr>
        <w:t>’</w:t>
      </w:r>
      <w:r w:rsidRPr="00F07170">
        <w:rPr>
          <w:lang w:val="fr-CA"/>
        </w:rPr>
        <w:t xml:space="preserve">emploi à rédiger leurs </w:t>
      </w:r>
      <w:r w:rsidR="00036EC9" w:rsidRPr="00F07170">
        <w:rPr>
          <w:lang w:val="fr-CA"/>
        </w:rPr>
        <w:t>demandes</w:t>
      </w:r>
      <w:r w:rsidRPr="00F07170">
        <w:rPr>
          <w:lang w:val="fr-CA"/>
        </w:rPr>
        <w:t>, à réussir leurs entre</w:t>
      </w:r>
      <w:r w:rsidR="00036EC9" w:rsidRPr="00F07170">
        <w:rPr>
          <w:lang w:val="fr-CA"/>
        </w:rPr>
        <w:t>vues</w:t>
      </w:r>
      <w:r w:rsidRPr="00F07170">
        <w:rPr>
          <w:lang w:val="fr-CA"/>
        </w:rPr>
        <w:t xml:space="preserve"> et à </w:t>
      </w:r>
      <w:r w:rsidR="00036EC9" w:rsidRPr="00F07170">
        <w:rPr>
          <w:lang w:val="fr-CA"/>
        </w:rPr>
        <w:t>bien plaider leur cause à toutes les étapes d</w:t>
      </w:r>
      <w:r w:rsidR="001407B6" w:rsidRPr="00F07170">
        <w:rPr>
          <w:lang w:val="fr-CA"/>
        </w:rPr>
        <w:t>’</w:t>
      </w:r>
      <w:r w:rsidRPr="00F07170">
        <w:rPr>
          <w:lang w:val="fr-CA"/>
        </w:rPr>
        <w:t>emploi.</w:t>
      </w:r>
    </w:p>
    <w:p w14:paraId="1EE8A9FB" w14:textId="1E81270D" w:rsidR="008A7A93" w:rsidRPr="00F07170" w:rsidRDefault="008A7A93" w:rsidP="008A7A93">
      <w:pPr>
        <w:pStyle w:val="ListParagraph"/>
        <w:numPr>
          <w:ilvl w:val="0"/>
          <w:numId w:val="14"/>
        </w:numPr>
        <w:rPr>
          <w:lang w:val="fr-CA"/>
        </w:rPr>
      </w:pPr>
      <w:r w:rsidRPr="00F07170">
        <w:rPr>
          <w:lang w:val="fr-CA"/>
        </w:rPr>
        <w:t>La capacité d</w:t>
      </w:r>
      <w:r w:rsidR="001407B6" w:rsidRPr="00F07170">
        <w:rPr>
          <w:lang w:val="fr-CA"/>
        </w:rPr>
        <w:t>’</w:t>
      </w:r>
      <w:r w:rsidRPr="00F07170">
        <w:rPr>
          <w:lang w:val="fr-CA"/>
        </w:rPr>
        <w:t>adaptation, la résolution de problèmes, la créativité et l</w:t>
      </w:r>
      <w:r w:rsidR="001407B6" w:rsidRPr="00F07170">
        <w:rPr>
          <w:lang w:val="fr-CA"/>
        </w:rPr>
        <w:t>’</w:t>
      </w:r>
      <w:r w:rsidRPr="00F07170">
        <w:rPr>
          <w:lang w:val="fr-CA"/>
        </w:rPr>
        <w:t>innovation aident les demandeurs d</w:t>
      </w:r>
      <w:r w:rsidR="001407B6" w:rsidRPr="00F07170">
        <w:rPr>
          <w:lang w:val="fr-CA"/>
        </w:rPr>
        <w:t>’</w:t>
      </w:r>
      <w:r w:rsidRPr="00F07170">
        <w:rPr>
          <w:lang w:val="fr-CA"/>
        </w:rPr>
        <w:t>emploi à identifier de nouvelles possibilités d</w:t>
      </w:r>
      <w:r w:rsidR="001407B6" w:rsidRPr="00F07170">
        <w:rPr>
          <w:lang w:val="fr-CA"/>
        </w:rPr>
        <w:t>’</w:t>
      </w:r>
      <w:r w:rsidRPr="00F07170">
        <w:rPr>
          <w:lang w:val="fr-CA"/>
        </w:rPr>
        <w:t>apprentissage ou à s</w:t>
      </w:r>
      <w:r w:rsidR="001407B6" w:rsidRPr="00F07170">
        <w:rPr>
          <w:lang w:val="fr-CA"/>
        </w:rPr>
        <w:t>’</w:t>
      </w:r>
      <w:r w:rsidRPr="00F07170">
        <w:rPr>
          <w:lang w:val="fr-CA"/>
        </w:rPr>
        <w:t>orienter vers des carrières différentes.</w:t>
      </w:r>
    </w:p>
    <w:p w14:paraId="5ECDBF1A" w14:textId="23EC4A19" w:rsidR="008A7A93" w:rsidRPr="00F07170" w:rsidRDefault="008A7A93" w:rsidP="008A7A93">
      <w:pPr>
        <w:pStyle w:val="ListParagraph"/>
        <w:numPr>
          <w:ilvl w:val="0"/>
          <w:numId w:val="14"/>
        </w:numPr>
        <w:rPr>
          <w:lang w:val="fr-CA"/>
        </w:rPr>
      </w:pPr>
      <w:r w:rsidRPr="00F07170">
        <w:rPr>
          <w:lang w:val="fr-CA"/>
        </w:rPr>
        <w:t>La collaboration et l</w:t>
      </w:r>
      <w:r w:rsidR="001407B6" w:rsidRPr="00F07170">
        <w:rPr>
          <w:lang w:val="fr-CA"/>
        </w:rPr>
        <w:t>’</w:t>
      </w:r>
      <w:r w:rsidRPr="00F07170">
        <w:rPr>
          <w:lang w:val="fr-CA"/>
        </w:rPr>
        <w:t>adaptabilité aident les demandeurs d</w:t>
      </w:r>
      <w:r w:rsidR="001407B6" w:rsidRPr="00F07170">
        <w:rPr>
          <w:lang w:val="fr-CA"/>
        </w:rPr>
        <w:t>’</w:t>
      </w:r>
      <w:r w:rsidRPr="00F07170">
        <w:rPr>
          <w:lang w:val="fr-CA"/>
        </w:rPr>
        <w:t xml:space="preserve">emploi à </w:t>
      </w:r>
      <w:r w:rsidR="00036EC9" w:rsidRPr="00F07170">
        <w:rPr>
          <w:lang w:val="fr-CA"/>
        </w:rPr>
        <w:t>gérer</w:t>
      </w:r>
      <w:r w:rsidRPr="00F07170">
        <w:rPr>
          <w:lang w:val="fr-CA"/>
        </w:rPr>
        <w:t xml:space="preserve"> leurs émotions et à travailler efficacement avec les autres.</w:t>
      </w:r>
    </w:p>
    <w:p w14:paraId="5443B7B8" w14:textId="3009B1C8" w:rsidR="008A7A93" w:rsidRPr="00F07170" w:rsidRDefault="008A7A93" w:rsidP="008A7A93">
      <w:pPr>
        <w:pStyle w:val="ListParagraph"/>
        <w:numPr>
          <w:ilvl w:val="0"/>
          <w:numId w:val="14"/>
        </w:numPr>
        <w:rPr>
          <w:lang w:val="fr-CA"/>
        </w:rPr>
      </w:pPr>
      <w:proofErr w:type="gramStart"/>
      <w:r w:rsidRPr="00F07170">
        <w:rPr>
          <w:lang w:val="fr-CA"/>
        </w:rPr>
        <w:t>Une forte capacité</w:t>
      </w:r>
      <w:proofErr w:type="gramEnd"/>
      <w:r w:rsidRPr="00F07170">
        <w:rPr>
          <w:lang w:val="fr-CA"/>
        </w:rPr>
        <w:t xml:space="preserve"> d</w:t>
      </w:r>
      <w:r w:rsidR="001407B6" w:rsidRPr="00F07170">
        <w:rPr>
          <w:lang w:val="fr-CA"/>
        </w:rPr>
        <w:t>’</w:t>
      </w:r>
      <w:r w:rsidRPr="00F07170">
        <w:rPr>
          <w:lang w:val="fr-CA"/>
        </w:rPr>
        <w:t>adaptation aide les demandeurs d</w:t>
      </w:r>
      <w:r w:rsidR="001407B6" w:rsidRPr="00F07170">
        <w:rPr>
          <w:lang w:val="fr-CA"/>
        </w:rPr>
        <w:t>’</w:t>
      </w:r>
      <w:r w:rsidRPr="00F07170">
        <w:rPr>
          <w:lang w:val="fr-CA"/>
        </w:rPr>
        <w:t xml:space="preserve">emploi à </w:t>
      </w:r>
      <w:r w:rsidR="00036EC9" w:rsidRPr="00F07170">
        <w:rPr>
          <w:lang w:val="fr-CA"/>
        </w:rPr>
        <w:t xml:space="preserve">surmonter les </w:t>
      </w:r>
      <w:r w:rsidRPr="00F07170">
        <w:rPr>
          <w:lang w:val="fr-CA"/>
        </w:rPr>
        <w:t>échec</w:t>
      </w:r>
      <w:r w:rsidR="00036EC9" w:rsidRPr="00F07170">
        <w:rPr>
          <w:lang w:val="fr-CA"/>
        </w:rPr>
        <w:t>s</w:t>
      </w:r>
      <w:r w:rsidRPr="00F07170">
        <w:rPr>
          <w:lang w:val="fr-CA"/>
        </w:rPr>
        <w:t xml:space="preserve"> et à rester motivés.</w:t>
      </w:r>
    </w:p>
    <w:p w14:paraId="4D6DB5BC" w14:textId="679DC7FA" w:rsidR="008A7A93" w:rsidRPr="00F07170" w:rsidRDefault="008A7A93" w:rsidP="00B1541F">
      <w:pPr>
        <w:rPr>
          <w:lang w:val="fr-CA"/>
        </w:rPr>
      </w:pPr>
      <w:r w:rsidRPr="00F07170">
        <w:rPr>
          <w:lang w:val="fr-CA"/>
        </w:rPr>
        <w:t>68 % des participants ont déclaré avoir mis à jour leur CV pour refléter ce qu</w:t>
      </w:r>
      <w:r w:rsidR="001407B6" w:rsidRPr="00F07170">
        <w:rPr>
          <w:lang w:val="fr-CA"/>
        </w:rPr>
        <w:t>’</w:t>
      </w:r>
      <w:r w:rsidRPr="00F07170">
        <w:rPr>
          <w:lang w:val="fr-CA"/>
        </w:rPr>
        <w:t>ils avaient appris lors de la formation.</w:t>
      </w:r>
    </w:p>
    <w:p w14:paraId="57EDDFC2" w14:textId="2A91E53B" w:rsidR="008A7A93" w:rsidRPr="00F07170" w:rsidRDefault="008A7A93" w:rsidP="008A7A93">
      <w:pPr>
        <w:rPr>
          <w:lang w:val="fr-CA"/>
        </w:rPr>
      </w:pPr>
      <w:r w:rsidRPr="00F07170">
        <w:rPr>
          <w:lang w:val="fr-CA"/>
        </w:rPr>
        <w:t xml:space="preserve">Les </w:t>
      </w:r>
      <w:r w:rsidR="00036EC9" w:rsidRPr="00F07170">
        <w:rPr>
          <w:lang w:val="fr-CA"/>
        </w:rPr>
        <w:t>fournisseurs</w:t>
      </w:r>
      <w:r w:rsidRPr="00F07170">
        <w:rPr>
          <w:lang w:val="fr-CA"/>
        </w:rPr>
        <w:t xml:space="preserve"> de services de formation professionnelle pour les </w:t>
      </w:r>
      <w:r w:rsidR="0070292C" w:rsidRPr="00F07170">
        <w:rPr>
          <w:lang w:val="fr-CA"/>
        </w:rPr>
        <w:t>demandeurs d’emploi en situation de handicap</w:t>
      </w:r>
      <w:r w:rsidRPr="00F07170">
        <w:rPr>
          <w:lang w:val="fr-CA"/>
        </w:rPr>
        <w:t xml:space="preserve"> ont plusieurs rôles importants. </w:t>
      </w:r>
      <w:r w:rsidR="00F05A2E" w:rsidRPr="00F07170">
        <w:rPr>
          <w:lang w:val="fr-CA"/>
        </w:rPr>
        <w:t>Ils</w:t>
      </w:r>
      <w:r w:rsidRPr="00F07170">
        <w:rPr>
          <w:lang w:val="fr-CA"/>
        </w:rPr>
        <w:t xml:space="preserve"> peuvent :</w:t>
      </w:r>
    </w:p>
    <w:p w14:paraId="3E4C3F5C" w14:textId="77777777" w:rsidR="008A7A93" w:rsidRPr="00F07170" w:rsidRDefault="008A7A93" w:rsidP="008A7A93">
      <w:pPr>
        <w:pStyle w:val="ListParagraph"/>
        <w:numPr>
          <w:ilvl w:val="0"/>
          <w:numId w:val="15"/>
        </w:numPr>
        <w:rPr>
          <w:lang w:val="fr-CA"/>
        </w:rPr>
      </w:pPr>
      <w:r w:rsidRPr="00F07170">
        <w:rPr>
          <w:lang w:val="fr-CA"/>
        </w:rPr>
        <w:t>Offrir une formation efficace et accessible en matière de compétences transférables.</w:t>
      </w:r>
    </w:p>
    <w:p w14:paraId="0E278C09" w14:textId="3543983D" w:rsidR="008A7A93" w:rsidRPr="00F07170" w:rsidRDefault="008A7A93" w:rsidP="008A7A93">
      <w:pPr>
        <w:pStyle w:val="ListParagraph"/>
        <w:numPr>
          <w:ilvl w:val="0"/>
          <w:numId w:val="15"/>
        </w:numPr>
        <w:rPr>
          <w:lang w:val="fr-CA"/>
        </w:rPr>
      </w:pPr>
      <w:r w:rsidRPr="00F07170">
        <w:rPr>
          <w:lang w:val="fr-CA"/>
        </w:rPr>
        <w:t>Aider les demandeurs d</w:t>
      </w:r>
      <w:r w:rsidR="001407B6" w:rsidRPr="00F07170">
        <w:rPr>
          <w:lang w:val="fr-CA"/>
        </w:rPr>
        <w:t>’</w:t>
      </w:r>
      <w:r w:rsidRPr="00F07170">
        <w:rPr>
          <w:lang w:val="fr-CA"/>
        </w:rPr>
        <w:t xml:space="preserve">emploi à reconnaître, appliquer et démontrer leurs points forts </w:t>
      </w:r>
      <w:r w:rsidR="00F05A2E" w:rsidRPr="00F07170">
        <w:rPr>
          <w:lang w:val="fr-CA"/>
        </w:rPr>
        <w:t>dans le mi</w:t>
      </w:r>
      <w:r w:rsidRPr="00F07170">
        <w:rPr>
          <w:lang w:val="fr-CA"/>
        </w:rPr>
        <w:t>lieu de travail.</w:t>
      </w:r>
    </w:p>
    <w:p w14:paraId="4727480F" w14:textId="3D6D9E41" w:rsidR="008A7A93" w:rsidRPr="00F07170" w:rsidRDefault="008A7A93" w:rsidP="008A7A93">
      <w:pPr>
        <w:pStyle w:val="ListParagraph"/>
        <w:numPr>
          <w:ilvl w:val="0"/>
          <w:numId w:val="15"/>
        </w:numPr>
        <w:rPr>
          <w:lang w:val="fr-CA"/>
        </w:rPr>
      </w:pPr>
      <w:r w:rsidRPr="00F07170">
        <w:rPr>
          <w:lang w:val="fr-CA"/>
        </w:rPr>
        <w:t>Sensibiliser les employeurs à l</w:t>
      </w:r>
      <w:r w:rsidR="001407B6" w:rsidRPr="00F07170">
        <w:rPr>
          <w:lang w:val="fr-CA"/>
        </w:rPr>
        <w:t>’</w:t>
      </w:r>
      <w:r w:rsidRPr="00F07170">
        <w:rPr>
          <w:lang w:val="fr-CA"/>
        </w:rPr>
        <w:t xml:space="preserve">intégration des </w:t>
      </w:r>
      <w:r w:rsidR="00150926" w:rsidRPr="00F07170">
        <w:rPr>
          <w:lang w:val="fr-CA"/>
        </w:rPr>
        <w:t>personnes en situation de handicap</w:t>
      </w:r>
      <w:r w:rsidRPr="00F07170">
        <w:rPr>
          <w:lang w:val="fr-CA"/>
        </w:rPr>
        <w:t xml:space="preserve"> dans le monde du travail et </w:t>
      </w:r>
      <w:r w:rsidR="00F05A2E" w:rsidRPr="00F07170">
        <w:rPr>
          <w:lang w:val="fr-CA"/>
        </w:rPr>
        <w:t xml:space="preserve">souligner les </w:t>
      </w:r>
      <w:r w:rsidRPr="00F07170">
        <w:rPr>
          <w:lang w:val="fr-CA"/>
        </w:rPr>
        <w:t>points forts de</w:t>
      </w:r>
      <w:r w:rsidR="00F05A2E" w:rsidRPr="00F07170">
        <w:rPr>
          <w:lang w:val="fr-CA"/>
        </w:rPr>
        <w:t xml:space="preserve"> ce</w:t>
      </w:r>
      <w:r w:rsidRPr="00F07170">
        <w:rPr>
          <w:lang w:val="fr-CA"/>
        </w:rPr>
        <w:t xml:space="preserve">s </w:t>
      </w:r>
      <w:r w:rsidR="008E0969" w:rsidRPr="00F07170">
        <w:rPr>
          <w:lang w:val="fr-CA"/>
        </w:rPr>
        <w:t>travailleurs</w:t>
      </w:r>
      <w:r w:rsidRPr="00F07170">
        <w:rPr>
          <w:lang w:val="fr-CA"/>
        </w:rPr>
        <w:t>.</w:t>
      </w:r>
    </w:p>
    <w:p w14:paraId="6B28971B" w14:textId="793D395F" w:rsidR="008A7A93" w:rsidRPr="00F07170" w:rsidRDefault="00F05A2E" w:rsidP="008A7A93">
      <w:pPr>
        <w:rPr>
          <w:lang w:val="fr-CA"/>
        </w:rPr>
      </w:pPr>
      <w:r w:rsidRPr="00F07170">
        <w:rPr>
          <w:lang w:val="fr-CA"/>
        </w:rPr>
        <w:t xml:space="preserve">La prochaine partie formule </w:t>
      </w:r>
      <w:r w:rsidR="008A7A93" w:rsidRPr="00F07170">
        <w:rPr>
          <w:lang w:val="fr-CA"/>
        </w:rPr>
        <w:t>trois recommandations à l</w:t>
      </w:r>
      <w:r w:rsidR="001407B6" w:rsidRPr="00F07170">
        <w:rPr>
          <w:lang w:val="fr-CA"/>
        </w:rPr>
        <w:t>’</w:t>
      </w:r>
      <w:r w:rsidR="008A7A93" w:rsidRPr="00F07170">
        <w:rPr>
          <w:lang w:val="fr-CA"/>
        </w:rPr>
        <w:t xml:space="preserve">intention des </w:t>
      </w:r>
      <w:r w:rsidRPr="00F07170">
        <w:rPr>
          <w:lang w:val="fr-CA"/>
        </w:rPr>
        <w:t>fournisseurs</w:t>
      </w:r>
      <w:r w:rsidR="008A7A93" w:rsidRPr="00F07170">
        <w:rPr>
          <w:lang w:val="fr-CA"/>
        </w:rPr>
        <w:t xml:space="preserve"> de services afin qu</w:t>
      </w:r>
      <w:r w:rsidR="001407B6" w:rsidRPr="00F07170">
        <w:rPr>
          <w:lang w:val="fr-CA"/>
        </w:rPr>
        <w:t>’</w:t>
      </w:r>
      <w:r w:rsidR="008A7A93" w:rsidRPr="00F07170">
        <w:rPr>
          <w:lang w:val="fr-CA"/>
        </w:rPr>
        <w:t xml:space="preserve">ils aident efficacement les </w:t>
      </w:r>
      <w:r w:rsidR="0070292C" w:rsidRPr="00F07170">
        <w:rPr>
          <w:lang w:val="fr-CA"/>
        </w:rPr>
        <w:t>demandeurs d’emploi en situation de handicap</w:t>
      </w:r>
      <w:r w:rsidR="008A7A93" w:rsidRPr="00F07170">
        <w:rPr>
          <w:lang w:val="fr-CA"/>
        </w:rPr>
        <w:t xml:space="preserve"> à acquérir et à utiliser des compétences transférables pour réussir sur le marché d</w:t>
      </w:r>
      <w:r w:rsidRPr="00F07170">
        <w:rPr>
          <w:lang w:val="fr-CA"/>
        </w:rPr>
        <w:t>u travail</w:t>
      </w:r>
      <w:r w:rsidR="008A7A93" w:rsidRPr="00F07170">
        <w:rPr>
          <w:lang w:val="fr-CA"/>
        </w:rPr>
        <w:t>.</w:t>
      </w:r>
    </w:p>
    <w:p w14:paraId="336B3B5D" w14:textId="11D39331" w:rsidR="008501D5" w:rsidRPr="00F07170" w:rsidRDefault="008501D5">
      <w:pPr>
        <w:rPr>
          <w:lang w:val="fr-CA"/>
        </w:rPr>
      </w:pPr>
      <w:r w:rsidRPr="00F07170">
        <w:rPr>
          <w:lang w:val="fr-CA"/>
        </w:rPr>
        <w:br w:type="page"/>
      </w:r>
    </w:p>
    <w:p w14:paraId="64EFD325" w14:textId="007A9F7C" w:rsidR="00B7623B" w:rsidRPr="00F07170" w:rsidRDefault="00B7623B" w:rsidP="000E4F36">
      <w:pPr>
        <w:pStyle w:val="Heading2"/>
        <w:rPr>
          <w:lang w:val="fr-CA"/>
        </w:rPr>
      </w:pPr>
      <w:bookmarkStart w:id="9" w:name="_Toc191281434"/>
      <w:r w:rsidRPr="00F07170">
        <w:rPr>
          <w:lang w:val="fr-CA"/>
        </w:rPr>
        <w:lastRenderedPageBreak/>
        <w:t xml:space="preserve">Recommandation 1 : </w:t>
      </w:r>
      <w:r w:rsidR="00231BF1" w:rsidRPr="00F07170">
        <w:rPr>
          <w:lang w:val="fr-CA"/>
        </w:rPr>
        <w:t>M</w:t>
      </w:r>
      <w:r w:rsidR="00A63C27" w:rsidRPr="00F07170">
        <w:rPr>
          <w:lang w:val="fr-CA"/>
        </w:rPr>
        <w:t xml:space="preserve">ettre en </w:t>
      </w:r>
      <w:r w:rsidR="00231BF1" w:rsidRPr="00F07170">
        <w:rPr>
          <w:lang w:val="fr-CA"/>
        </w:rPr>
        <w:t>place</w:t>
      </w:r>
      <w:r w:rsidR="00A63C27" w:rsidRPr="00F07170">
        <w:rPr>
          <w:lang w:val="fr-CA"/>
        </w:rPr>
        <w:t xml:space="preserve"> des </w:t>
      </w:r>
      <w:r w:rsidR="00C90431" w:rsidRPr="00F07170">
        <w:rPr>
          <w:lang w:val="fr-CA"/>
        </w:rPr>
        <w:t xml:space="preserve">programmes de </w:t>
      </w:r>
      <w:r w:rsidR="0011204F" w:rsidRPr="00F07170">
        <w:rPr>
          <w:lang w:val="fr-CA"/>
        </w:rPr>
        <w:t xml:space="preserve">formation </w:t>
      </w:r>
      <w:r w:rsidR="00E45BEC" w:rsidRPr="00F07170">
        <w:rPr>
          <w:lang w:val="fr-CA"/>
        </w:rPr>
        <w:t>efficaces</w:t>
      </w:r>
      <w:r w:rsidRPr="00F07170">
        <w:rPr>
          <w:lang w:val="fr-CA"/>
        </w:rPr>
        <w:t xml:space="preserve"> et accessibles</w:t>
      </w:r>
      <w:r w:rsidR="00576C5E" w:rsidRPr="00F07170">
        <w:rPr>
          <w:lang w:val="fr-CA"/>
        </w:rPr>
        <w:t>.</w:t>
      </w:r>
      <w:bookmarkEnd w:id="9"/>
    </w:p>
    <w:p w14:paraId="7CF01B19" w14:textId="35BDDC35" w:rsidR="00E17999" w:rsidRPr="00F07170" w:rsidRDefault="00E17999" w:rsidP="00E17999">
      <w:pPr>
        <w:rPr>
          <w:lang w:val="fr-CA"/>
        </w:rPr>
      </w:pPr>
      <w:r w:rsidRPr="00F07170">
        <w:rPr>
          <w:lang w:val="fr-CA"/>
        </w:rPr>
        <w:t>Les</w:t>
      </w:r>
      <w:r w:rsidR="00231BF1" w:rsidRPr="00F07170">
        <w:rPr>
          <w:lang w:val="fr-CA"/>
        </w:rPr>
        <w:t xml:space="preserve"> gens considèrent parfois les compétences générales (</w:t>
      </w:r>
      <w:r w:rsidRPr="00F07170">
        <w:rPr>
          <w:i/>
          <w:lang w:val="fr-CA"/>
        </w:rPr>
        <w:t xml:space="preserve">soft </w:t>
      </w:r>
      <w:proofErr w:type="spellStart"/>
      <w:r w:rsidRPr="00F07170">
        <w:rPr>
          <w:i/>
          <w:lang w:val="fr-CA"/>
        </w:rPr>
        <w:t>skills</w:t>
      </w:r>
      <w:proofErr w:type="spellEnd"/>
      <w:r w:rsidR="00231BF1" w:rsidRPr="00F07170">
        <w:rPr>
          <w:lang w:val="fr-CA"/>
        </w:rPr>
        <w:t>)</w:t>
      </w:r>
      <w:r w:rsidRPr="00F07170">
        <w:rPr>
          <w:lang w:val="fr-CA"/>
        </w:rPr>
        <w:t xml:space="preserve"> comme des qualités personnelles ou des traits de personnalité qu</w:t>
      </w:r>
      <w:r w:rsidR="00231BF1" w:rsidRPr="00F07170">
        <w:rPr>
          <w:lang w:val="fr-CA"/>
        </w:rPr>
        <w:t>e l’on ne peut pas modifier</w:t>
      </w:r>
      <w:r w:rsidRPr="00F07170">
        <w:rPr>
          <w:lang w:val="fr-CA"/>
        </w:rPr>
        <w:t xml:space="preserve">. </w:t>
      </w:r>
    </w:p>
    <w:p w14:paraId="0F04E0EE" w14:textId="1DF22AC9" w:rsidR="00E17999" w:rsidRPr="00F07170" w:rsidRDefault="00E17999" w:rsidP="00E17999">
      <w:pPr>
        <w:rPr>
          <w:lang w:val="fr-CA"/>
        </w:rPr>
      </w:pPr>
      <w:r w:rsidRPr="00F07170">
        <w:rPr>
          <w:lang w:val="fr-CA"/>
        </w:rPr>
        <w:t>Il est important de reconnaître qu</w:t>
      </w:r>
      <w:r w:rsidR="00231BF1" w:rsidRPr="00F07170">
        <w:rPr>
          <w:lang w:val="fr-CA"/>
        </w:rPr>
        <w:t xml:space="preserve">’il est possible de développer </w:t>
      </w:r>
      <w:r w:rsidRPr="00F07170">
        <w:rPr>
          <w:lang w:val="fr-CA"/>
        </w:rPr>
        <w:t>l</w:t>
      </w:r>
      <w:r w:rsidR="001407B6" w:rsidRPr="00F07170">
        <w:rPr>
          <w:lang w:val="fr-CA"/>
        </w:rPr>
        <w:t>’</w:t>
      </w:r>
      <w:r w:rsidRPr="00F07170">
        <w:rPr>
          <w:lang w:val="fr-CA"/>
        </w:rPr>
        <w:t>adaptabilité, la communication, la collaboration, la créativité et la résolution de problèmes</w:t>
      </w:r>
      <w:r w:rsidR="00231BF1" w:rsidRPr="00F07170">
        <w:rPr>
          <w:lang w:val="fr-CA"/>
        </w:rPr>
        <w:t>, soit les</w:t>
      </w:r>
      <w:r w:rsidRPr="00F07170">
        <w:rPr>
          <w:lang w:val="fr-CA"/>
        </w:rPr>
        <w:t xml:space="preserve"> compétences transférables</w:t>
      </w:r>
      <w:r w:rsidR="00231BF1" w:rsidRPr="00F07170">
        <w:rPr>
          <w:lang w:val="fr-CA"/>
        </w:rPr>
        <w:t xml:space="preserve">, grâce à </w:t>
      </w:r>
      <w:r w:rsidRPr="00F07170">
        <w:rPr>
          <w:lang w:val="fr-CA"/>
        </w:rPr>
        <w:t>l</w:t>
      </w:r>
      <w:r w:rsidR="001407B6" w:rsidRPr="00F07170">
        <w:rPr>
          <w:lang w:val="fr-CA"/>
        </w:rPr>
        <w:t>’</w:t>
      </w:r>
      <w:r w:rsidRPr="00F07170">
        <w:rPr>
          <w:lang w:val="fr-CA"/>
        </w:rPr>
        <w:t>éducation, la formation, l</w:t>
      </w:r>
      <w:r w:rsidR="00231BF1" w:rsidRPr="00F07170">
        <w:rPr>
          <w:lang w:val="fr-CA"/>
        </w:rPr>
        <w:t>’accompagnement personnalisé</w:t>
      </w:r>
      <w:r w:rsidRPr="00F07170">
        <w:rPr>
          <w:lang w:val="fr-CA"/>
        </w:rPr>
        <w:t xml:space="preserve"> et la pratique.</w:t>
      </w:r>
    </w:p>
    <w:p w14:paraId="2CA66610" w14:textId="0F4B47C8" w:rsidR="00231BF1" w:rsidRPr="00F07170" w:rsidRDefault="00231BF1" w:rsidP="00E17999">
      <w:pPr>
        <w:rPr>
          <w:lang w:val="fr-CA"/>
        </w:rPr>
      </w:pPr>
      <w:r w:rsidRPr="00F07170">
        <w:rPr>
          <w:lang w:val="fr-CA"/>
        </w:rPr>
        <w:t>Les demandeurs d’emploi ont évalué leur maîtrise des sujets abordés dans les cours avant et après avoir suivi une formation en ligne. Les notes pour une compétence donnée représentent une moyenne pour tous les cours que les clients ont suivis dans cette compétence.</w:t>
      </w:r>
    </w:p>
    <w:p w14:paraId="26CB1E29" w14:textId="7A3C233C" w:rsidR="00E17999" w:rsidRPr="00F07170" w:rsidRDefault="005C7D23" w:rsidP="00E17999">
      <w:pPr>
        <w:rPr>
          <w:lang w:val="fr-CA"/>
        </w:rPr>
      </w:pPr>
      <w:r w:rsidRPr="00F07170">
        <w:rPr>
          <w:lang w:val="fr-CA"/>
        </w:rPr>
        <w:t>Remarque : la moyenne dans le graphique ci-dessous exclut la collaboration en raison de données insuffisantes.</w:t>
      </w:r>
      <w:r w:rsidR="004B422E" w:rsidRPr="00F07170">
        <w:rPr>
          <w:lang w:val="fr-CA"/>
        </w:rPr>
        <w:t xml:space="preserve"> </w:t>
      </w:r>
    </w:p>
    <w:p w14:paraId="7DCF8316" w14:textId="3A3C8B47" w:rsidR="00231BF1" w:rsidRPr="00F07170" w:rsidRDefault="00231BF1" w:rsidP="008C29E2">
      <w:pPr>
        <w:jc w:val="center"/>
        <w:rPr>
          <w:lang w:val="fr-CA"/>
        </w:rPr>
      </w:pPr>
      <w:r w:rsidRPr="00F07170">
        <w:rPr>
          <w:noProof/>
          <w:lang w:val="en-CA" w:eastAsia="en-CA"/>
        </w:rPr>
        <w:drawing>
          <wp:inline distT="0" distB="0" distL="0" distR="0" wp14:anchorId="3FB7F9B6" wp14:editId="4B891686">
            <wp:extent cx="5473700" cy="2832100"/>
            <wp:effectExtent l="0" t="0" r="1270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1DA633" w14:textId="49372EEB" w:rsidR="00231BF1" w:rsidRPr="00F07170" w:rsidRDefault="00231BF1" w:rsidP="00947388">
      <w:pPr>
        <w:rPr>
          <w:lang w:val="fr-CA"/>
        </w:rPr>
      </w:pPr>
      <w:r w:rsidRPr="00F07170">
        <w:rPr>
          <w:lang w:val="fr-CA"/>
        </w:rPr>
        <w:t>Description : Un graphique linéaire intitulé « Augmentation moyenne des compétences » montre les notes moyennes que les participants ont données à l’évaluation de toutes leurs compétences transférables (sauf la collaboration en raison du manque de données) avant et après les cours. L’axe des x indique les notes moyennes avant les cours (« Avant l’apprentissage ») et après les cours (« Après l’apprentissage »). L’axe des y présent</w:t>
      </w:r>
      <w:r w:rsidR="00B108A1" w:rsidRPr="00F07170">
        <w:rPr>
          <w:lang w:val="fr-CA"/>
        </w:rPr>
        <w:t>e</w:t>
      </w:r>
      <w:r w:rsidRPr="00F07170">
        <w:rPr>
          <w:lang w:val="fr-CA"/>
        </w:rPr>
        <w:t xml:space="preserve"> le pourcentage moyen des notes que les participants ont obtenues, de 0% à 100%. Ce graphique démontre qu’en moyenne, les compétences transférables des participants s’élevaient à 73,7 % avant de suivre les cours en ligne, alors que la moyenne augmentait à 87,6 % après avoir suivi les cours. Ce résultat indique qu’en moyenne, les participants estiment que leurs compétences transférables ont augmenté de 13,9 points de pourcentage après avoir suivi les cours en ligne sur les compétences transférables. </w:t>
      </w:r>
    </w:p>
    <w:p w14:paraId="65007331" w14:textId="650FDBF7" w:rsidR="00F33C1C" w:rsidRPr="00F07170" w:rsidRDefault="00231BF1" w:rsidP="00F33C1C">
      <w:pPr>
        <w:rPr>
          <w:lang w:val="fr-CA"/>
        </w:rPr>
      </w:pPr>
      <w:r w:rsidRPr="00F07170">
        <w:rPr>
          <w:lang w:val="fr-CA"/>
        </w:rPr>
        <w:t xml:space="preserve">Comme les </w:t>
      </w:r>
      <w:r w:rsidR="00234CD4" w:rsidRPr="00F07170">
        <w:rPr>
          <w:i/>
          <w:lang w:val="fr-CA"/>
        </w:rPr>
        <w:t>Compétences pour réussir</w:t>
      </w:r>
      <w:r w:rsidR="00F33C1C" w:rsidRPr="00F07170">
        <w:rPr>
          <w:lang w:val="fr-CA"/>
        </w:rPr>
        <w:t xml:space="preserve"> sont des compétences </w:t>
      </w:r>
      <w:r w:rsidRPr="00F07170">
        <w:rPr>
          <w:lang w:val="fr-CA"/>
        </w:rPr>
        <w:t>essentielles</w:t>
      </w:r>
      <w:r w:rsidR="00F33C1C" w:rsidRPr="00F07170">
        <w:rPr>
          <w:lang w:val="fr-CA"/>
        </w:rPr>
        <w:t xml:space="preserve">, les cinq compétences transférables </w:t>
      </w:r>
      <w:r w:rsidRPr="00F07170">
        <w:rPr>
          <w:lang w:val="fr-CA"/>
        </w:rPr>
        <w:t>touchent à plusieurs</w:t>
      </w:r>
      <w:r w:rsidR="00F33C1C" w:rsidRPr="00F07170">
        <w:rPr>
          <w:lang w:val="fr-CA"/>
        </w:rPr>
        <w:t xml:space="preserve"> domaines. Le programme </w:t>
      </w:r>
      <w:r w:rsidRPr="00F07170">
        <w:rPr>
          <w:lang w:val="fr-CA"/>
        </w:rPr>
        <w:t xml:space="preserve">sur la capacité d’adaptation </w:t>
      </w:r>
      <w:r w:rsidR="00F33C1C" w:rsidRPr="00F07170">
        <w:rPr>
          <w:lang w:val="fr-CA"/>
        </w:rPr>
        <w:t xml:space="preserve">du CCRT, </w:t>
      </w:r>
      <w:r w:rsidR="00F33C1C" w:rsidRPr="00F07170">
        <w:rPr>
          <w:lang w:val="fr-CA"/>
        </w:rPr>
        <w:lastRenderedPageBreak/>
        <w:t>par exemple, comprend une formation sur l</w:t>
      </w:r>
      <w:r w:rsidR="001407B6" w:rsidRPr="00F07170">
        <w:rPr>
          <w:lang w:val="fr-CA"/>
        </w:rPr>
        <w:t>’</w:t>
      </w:r>
      <w:r w:rsidR="00F33C1C" w:rsidRPr="00F07170">
        <w:rPr>
          <w:lang w:val="fr-CA"/>
        </w:rPr>
        <w:t>établissement des priorités, la gestion du temps, la gestion du stress, la responsabilisation, le développement d</w:t>
      </w:r>
      <w:r w:rsidR="001407B6" w:rsidRPr="00F07170">
        <w:rPr>
          <w:lang w:val="fr-CA"/>
        </w:rPr>
        <w:t>’</w:t>
      </w:r>
      <w:r w:rsidR="00F33C1C" w:rsidRPr="00F07170">
        <w:rPr>
          <w:lang w:val="fr-CA"/>
        </w:rPr>
        <w:t xml:space="preserve">un esprit </w:t>
      </w:r>
      <w:r w:rsidRPr="00F07170">
        <w:rPr>
          <w:lang w:val="fr-CA"/>
        </w:rPr>
        <w:t>axé sur la</w:t>
      </w:r>
      <w:r w:rsidR="00F33C1C" w:rsidRPr="00F07170">
        <w:rPr>
          <w:lang w:val="fr-CA"/>
        </w:rPr>
        <w:t xml:space="preserve"> croissance et l</w:t>
      </w:r>
      <w:r w:rsidR="001407B6" w:rsidRPr="00F07170">
        <w:rPr>
          <w:lang w:val="fr-CA"/>
        </w:rPr>
        <w:t>’</w:t>
      </w:r>
      <w:r w:rsidR="00F33C1C" w:rsidRPr="00F07170">
        <w:rPr>
          <w:lang w:val="fr-CA"/>
        </w:rPr>
        <w:t xml:space="preserve">adaptation au changement (entre autres). </w:t>
      </w:r>
      <w:r w:rsidRPr="00F07170">
        <w:rPr>
          <w:lang w:val="fr-CA"/>
        </w:rPr>
        <w:t>Il importe d’e</w:t>
      </w:r>
      <w:r w:rsidR="00F33C1C" w:rsidRPr="00F07170">
        <w:rPr>
          <w:lang w:val="fr-CA"/>
        </w:rPr>
        <w:t>ncourage</w:t>
      </w:r>
      <w:r w:rsidRPr="00F07170">
        <w:rPr>
          <w:lang w:val="fr-CA"/>
        </w:rPr>
        <w:t>r</w:t>
      </w:r>
      <w:r w:rsidR="00F33C1C" w:rsidRPr="00F07170">
        <w:rPr>
          <w:lang w:val="fr-CA"/>
        </w:rPr>
        <w:t xml:space="preserve"> les clients à développer les compétences qui leur seraient le</w:t>
      </w:r>
      <w:r w:rsidR="00B108A1" w:rsidRPr="00F07170">
        <w:rPr>
          <w:lang w:val="fr-CA"/>
        </w:rPr>
        <w:t>s</w:t>
      </w:r>
      <w:r w:rsidR="00F33C1C" w:rsidRPr="00F07170">
        <w:rPr>
          <w:lang w:val="fr-CA"/>
        </w:rPr>
        <w:t xml:space="preserve"> plus utiles </w:t>
      </w:r>
      <w:r w:rsidRPr="00F07170">
        <w:rPr>
          <w:lang w:val="fr-CA"/>
        </w:rPr>
        <w:t xml:space="preserve">grâce à </w:t>
      </w:r>
      <w:r w:rsidR="00F33C1C" w:rsidRPr="00F07170">
        <w:rPr>
          <w:lang w:val="fr-CA"/>
        </w:rPr>
        <w:t>des plans d</w:t>
      </w:r>
      <w:r w:rsidR="001407B6" w:rsidRPr="00F07170">
        <w:rPr>
          <w:lang w:val="fr-CA"/>
        </w:rPr>
        <w:t>’</w:t>
      </w:r>
      <w:r w:rsidR="00F33C1C" w:rsidRPr="00F07170">
        <w:rPr>
          <w:lang w:val="fr-CA"/>
        </w:rPr>
        <w:t>apprentissage flexibles, modulaires et dirigés par les clients.</w:t>
      </w:r>
    </w:p>
    <w:p w14:paraId="22B23223" w14:textId="48DF5831" w:rsidR="00F33C1C" w:rsidRPr="00F07170" w:rsidRDefault="00231BF1" w:rsidP="00F33C1C">
      <w:pPr>
        <w:rPr>
          <w:lang w:val="fr-CA"/>
        </w:rPr>
      </w:pPr>
      <w:r w:rsidRPr="00F07170">
        <w:rPr>
          <w:lang w:val="fr-CA"/>
        </w:rPr>
        <w:t>Peu importe</w:t>
      </w:r>
      <w:r w:rsidR="00F33C1C" w:rsidRPr="00F07170">
        <w:rPr>
          <w:lang w:val="fr-CA"/>
        </w:rPr>
        <w:t xml:space="preserve"> les thèmes de votre programme, </w:t>
      </w:r>
      <w:r w:rsidRPr="00F07170">
        <w:rPr>
          <w:lang w:val="fr-CA"/>
        </w:rPr>
        <w:t>il faut se rappeler que</w:t>
      </w:r>
      <w:r w:rsidR="00F33C1C" w:rsidRPr="00F07170">
        <w:rPr>
          <w:lang w:val="fr-CA"/>
        </w:rPr>
        <w:t xml:space="preserve"> cha</w:t>
      </w:r>
      <w:r w:rsidRPr="00F07170">
        <w:rPr>
          <w:lang w:val="fr-CA"/>
        </w:rPr>
        <w:t>que personne</w:t>
      </w:r>
      <w:r w:rsidR="00F33C1C" w:rsidRPr="00F07170">
        <w:rPr>
          <w:lang w:val="fr-CA"/>
        </w:rPr>
        <w:t xml:space="preserve"> arrivera avec </w:t>
      </w:r>
      <w:r w:rsidRPr="00F07170">
        <w:rPr>
          <w:lang w:val="fr-CA"/>
        </w:rPr>
        <w:t xml:space="preserve">sa propre </w:t>
      </w:r>
      <w:r w:rsidR="00F33C1C" w:rsidRPr="00F07170">
        <w:rPr>
          <w:lang w:val="fr-CA"/>
        </w:rPr>
        <w:t xml:space="preserve">expérience. Envisagez de proposer des cours </w:t>
      </w:r>
      <w:r w:rsidRPr="00F07170">
        <w:rPr>
          <w:lang w:val="fr-CA"/>
        </w:rPr>
        <w:t>adaptés aux</w:t>
      </w:r>
      <w:r w:rsidR="00F33C1C" w:rsidRPr="00F07170">
        <w:rPr>
          <w:lang w:val="fr-CA"/>
        </w:rPr>
        <w:t xml:space="preserve"> apprenants de différents niveaux (par exemple, débutant, intermédiaire et avancé). Pour les compétences en communication, par exemple, il peut s</w:t>
      </w:r>
      <w:r w:rsidR="001407B6" w:rsidRPr="00F07170">
        <w:rPr>
          <w:lang w:val="fr-CA"/>
        </w:rPr>
        <w:t>’</w:t>
      </w:r>
      <w:r w:rsidR="00F33C1C" w:rsidRPr="00F07170">
        <w:rPr>
          <w:lang w:val="fr-CA"/>
        </w:rPr>
        <w:t>agir de cours sur les fondements du langage corporel et de la communication non verbale, et de formations avancées sur des sujets spécialisés comme la négociation d</w:t>
      </w:r>
      <w:r w:rsidR="001407B6" w:rsidRPr="00F07170">
        <w:rPr>
          <w:lang w:val="fr-CA"/>
        </w:rPr>
        <w:t>’</w:t>
      </w:r>
      <w:r w:rsidRPr="00F07170">
        <w:rPr>
          <w:lang w:val="fr-CA"/>
        </w:rPr>
        <w:t xml:space="preserve">ententes </w:t>
      </w:r>
      <w:r w:rsidR="00F33C1C" w:rsidRPr="00F07170">
        <w:rPr>
          <w:lang w:val="fr-CA"/>
        </w:rPr>
        <w:t>commercia</w:t>
      </w:r>
      <w:r w:rsidRPr="00F07170">
        <w:rPr>
          <w:lang w:val="fr-CA"/>
        </w:rPr>
        <w:t>les</w:t>
      </w:r>
      <w:r w:rsidR="00F33C1C" w:rsidRPr="00F07170">
        <w:rPr>
          <w:lang w:val="fr-CA"/>
        </w:rPr>
        <w:t>.</w:t>
      </w:r>
    </w:p>
    <w:p w14:paraId="77F19371" w14:textId="1CDA77AF" w:rsidR="00F33C1C" w:rsidRPr="00F07170" w:rsidRDefault="00231BF1" w:rsidP="00F33C1C">
      <w:pPr>
        <w:rPr>
          <w:lang w:val="fr-CA"/>
        </w:rPr>
      </w:pPr>
      <w:r w:rsidRPr="00F07170">
        <w:rPr>
          <w:lang w:val="fr-CA"/>
        </w:rPr>
        <w:t>L</w:t>
      </w:r>
      <w:r w:rsidR="00F33C1C" w:rsidRPr="00F07170">
        <w:rPr>
          <w:lang w:val="fr-CA"/>
        </w:rPr>
        <w:t xml:space="preserve">es </w:t>
      </w:r>
      <w:r w:rsidRPr="00F07170">
        <w:rPr>
          <w:lang w:val="fr-CA"/>
        </w:rPr>
        <w:t>fournisseurs</w:t>
      </w:r>
      <w:r w:rsidR="00F33C1C" w:rsidRPr="00F07170">
        <w:rPr>
          <w:lang w:val="fr-CA"/>
        </w:rPr>
        <w:t xml:space="preserve"> de services </w:t>
      </w:r>
      <w:r w:rsidRPr="00F07170">
        <w:rPr>
          <w:lang w:val="fr-CA"/>
        </w:rPr>
        <w:t xml:space="preserve">qui </w:t>
      </w:r>
      <w:r w:rsidR="00F33C1C" w:rsidRPr="00F07170">
        <w:rPr>
          <w:lang w:val="fr-CA"/>
        </w:rPr>
        <w:t>travaill</w:t>
      </w:r>
      <w:r w:rsidRPr="00F07170">
        <w:rPr>
          <w:lang w:val="fr-CA"/>
        </w:rPr>
        <w:t>e</w:t>
      </w:r>
      <w:r w:rsidR="00F33C1C" w:rsidRPr="00F07170">
        <w:rPr>
          <w:lang w:val="fr-CA"/>
        </w:rPr>
        <w:t xml:space="preserve">nt avec </w:t>
      </w:r>
      <w:r w:rsidRPr="00F07170">
        <w:rPr>
          <w:lang w:val="fr-CA"/>
        </w:rPr>
        <w:t>d</w:t>
      </w:r>
      <w:r w:rsidR="00F33C1C" w:rsidRPr="00F07170">
        <w:rPr>
          <w:lang w:val="fr-CA"/>
        </w:rPr>
        <w:t xml:space="preserve">es communautés de </w:t>
      </w:r>
      <w:r w:rsidR="00150926" w:rsidRPr="00F07170">
        <w:rPr>
          <w:lang w:val="fr-CA"/>
        </w:rPr>
        <w:t>personnes en situation de handicap</w:t>
      </w:r>
      <w:r w:rsidRPr="00F07170">
        <w:rPr>
          <w:lang w:val="fr-CA"/>
        </w:rPr>
        <w:t xml:space="preserve"> doivent</w:t>
      </w:r>
      <w:r w:rsidR="00F33C1C" w:rsidRPr="00F07170">
        <w:rPr>
          <w:lang w:val="fr-CA"/>
        </w:rPr>
        <w:t xml:space="preserve"> fournir un contenu adapté aux besoins de </w:t>
      </w:r>
      <w:r w:rsidRPr="00F07170">
        <w:rPr>
          <w:lang w:val="fr-CA"/>
        </w:rPr>
        <w:t>cette</w:t>
      </w:r>
      <w:r w:rsidR="00F33C1C" w:rsidRPr="00F07170">
        <w:rPr>
          <w:lang w:val="fr-CA"/>
        </w:rPr>
        <w:t xml:space="preserve"> communauté. Par exemple, </w:t>
      </w:r>
      <w:r w:rsidRPr="00F07170">
        <w:rPr>
          <w:lang w:val="fr-CA"/>
        </w:rPr>
        <w:t>l</w:t>
      </w:r>
      <w:r w:rsidR="00F33C1C" w:rsidRPr="00F07170">
        <w:rPr>
          <w:lang w:val="fr-CA"/>
        </w:rPr>
        <w:t xml:space="preserve">es cours de communication </w:t>
      </w:r>
      <w:r w:rsidRPr="00F07170">
        <w:rPr>
          <w:lang w:val="fr-CA"/>
        </w:rPr>
        <w:t>qui contribuent</w:t>
      </w:r>
      <w:r w:rsidR="00F33C1C" w:rsidRPr="00F07170">
        <w:rPr>
          <w:lang w:val="fr-CA"/>
        </w:rPr>
        <w:t xml:space="preserve"> à renforcer l</w:t>
      </w:r>
      <w:r w:rsidRPr="00F07170">
        <w:rPr>
          <w:lang w:val="fr-CA"/>
        </w:rPr>
        <w:t>’autonomie</w:t>
      </w:r>
      <w:r w:rsidR="00F33C1C" w:rsidRPr="00F07170">
        <w:rPr>
          <w:lang w:val="fr-CA"/>
        </w:rPr>
        <w:t xml:space="preserve"> peuvent aider les travailleurs à divulg</w:t>
      </w:r>
      <w:r w:rsidRPr="00F07170">
        <w:rPr>
          <w:lang w:val="fr-CA"/>
        </w:rPr>
        <w:t>uer</w:t>
      </w:r>
      <w:r w:rsidR="00F33C1C" w:rsidRPr="00F07170">
        <w:rPr>
          <w:lang w:val="fr-CA"/>
        </w:rPr>
        <w:t xml:space="preserve"> leur handicap et </w:t>
      </w:r>
      <w:r w:rsidRPr="00F07170">
        <w:rPr>
          <w:lang w:val="fr-CA"/>
        </w:rPr>
        <w:t xml:space="preserve">à </w:t>
      </w:r>
      <w:r w:rsidR="00F33C1C" w:rsidRPr="00F07170">
        <w:rPr>
          <w:lang w:val="fr-CA"/>
        </w:rPr>
        <w:t>demande</w:t>
      </w:r>
      <w:r w:rsidRPr="00F07170">
        <w:rPr>
          <w:lang w:val="fr-CA"/>
        </w:rPr>
        <w:t>r des mesures d’adaptations</w:t>
      </w:r>
      <w:r w:rsidR="00F33C1C" w:rsidRPr="00F07170">
        <w:rPr>
          <w:lang w:val="fr-CA"/>
        </w:rPr>
        <w:t xml:space="preserve">. </w:t>
      </w:r>
      <w:r w:rsidRPr="00F07170">
        <w:rPr>
          <w:lang w:val="fr-CA"/>
        </w:rPr>
        <w:t>On encourage l</w:t>
      </w:r>
      <w:r w:rsidR="00F33C1C" w:rsidRPr="00F07170">
        <w:rPr>
          <w:lang w:val="fr-CA"/>
        </w:rPr>
        <w:t xml:space="preserve">es organisations à consulter les membres de la communauté pour </w:t>
      </w:r>
      <w:r w:rsidRPr="00F07170">
        <w:rPr>
          <w:lang w:val="fr-CA"/>
        </w:rPr>
        <w:t>déterminer les besoins et recueillir des commentaires avant d’</w:t>
      </w:r>
      <w:r w:rsidR="00F33C1C" w:rsidRPr="00F07170">
        <w:rPr>
          <w:lang w:val="fr-CA"/>
        </w:rPr>
        <w:t xml:space="preserve">élaborer et </w:t>
      </w:r>
      <w:r w:rsidRPr="00F07170">
        <w:rPr>
          <w:lang w:val="fr-CA"/>
        </w:rPr>
        <w:t xml:space="preserve">de </w:t>
      </w:r>
      <w:r w:rsidR="00F33C1C" w:rsidRPr="00F07170">
        <w:rPr>
          <w:lang w:val="fr-CA"/>
        </w:rPr>
        <w:t xml:space="preserve">mettre en œuvre la formation. Pour les organisations qui soutiennent des populations </w:t>
      </w:r>
      <w:r w:rsidRPr="00F07170">
        <w:rPr>
          <w:lang w:val="fr-CA"/>
        </w:rPr>
        <w:t>particulières</w:t>
      </w:r>
      <w:r w:rsidR="00F33C1C" w:rsidRPr="00F07170">
        <w:rPr>
          <w:lang w:val="fr-CA"/>
        </w:rPr>
        <w:t xml:space="preserve"> (par exemple, les demandeurs d</w:t>
      </w:r>
      <w:r w:rsidR="001407B6" w:rsidRPr="00F07170">
        <w:rPr>
          <w:lang w:val="fr-CA"/>
        </w:rPr>
        <w:t>’</w:t>
      </w:r>
      <w:r w:rsidR="00F33C1C" w:rsidRPr="00F07170">
        <w:rPr>
          <w:lang w:val="fr-CA"/>
        </w:rPr>
        <w:t xml:space="preserve">emploi </w:t>
      </w:r>
      <w:proofErr w:type="spellStart"/>
      <w:r w:rsidR="00F33C1C" w:rsidRPr="00F07170">
        <w:rPr>
          <w:lang w:val="fr-CA"/>
        </w:rPr>
        <w:t>neurodivers</w:t>
      </w:r>
      <w:proofErr w:type="spellEnd"/>
      <w:r w:rsidR="00F33C1C" w:rsidRPr="00F07170">
        <w:rPr>
          <w:lang w:val="fr-CA"/>
        </w:rPr>
        <w:t>), le</w:t>
      </w:r>
      <w:r w:rsidRPr="00F07170">
        <w:rPr>
          <w:lang w:val="fr-CA"/>
        </w:rPr>
        <w:t xml:space="preserve">s commentaires aident à </w:t>
      </w:r>
      <w:r w:rsidR="00F33C1C" w:rsidRPr="00F07170">
        <w:rPr>
          <w:lang w:val="fr-CA"/>
        </w:rPr>
        <w:t xml:space="preserve">orienter la formation sur des sujets </w:t>
      </w:r>
      <w:r w:rsidRPr="00F07170">
        <w:rPr>
          <w:lang w:val="fr-CA"/>
        </w:rPr>
        <w:t xml:space="preserve">précis qui ont une </w:t>
      </w:r>
      <w:r w:rsidR="00F33C1C" w:rsidRPr="00F07170">
        <w:rPr>
          <w:lang w:val="fr-CA"/>
        </w:rPr>
        <w:t xml:space="preserve">grande valeur pour la communauté ou </w:t>
      </w:r>
      <w:r w:rsidRPr="00F07170">
        <w:rPr>
          <w:lang w:val="fr-CA"/>
        </w:rPr>
        <w:t xml:space="preserve">à fournir des renseignements concernant l’accessibilité de la formation </w:t>
      </w:r>
      <w:r w:rsidR="00F33C1C" w:rsidRPr="00F07170">
        <w:rPr>
          <w:lang w:val="fr-CA"/>
        </w:rPr>
        <w:t>pour améliorer l</w:t>
      </w:r>
      <w:r w:rsidRPr="00F07170">
        <w:rPr>
          <w:lang w:val="fr-CA"/>
        </w:rPr>
        <w:t>e</w:t>
      </w:r>
      <w:r w:rsidR="00F33C1C" w:rsidRPr="00F07170">
        <w:rPr>
          <w:lang w:val="fr-CA"/>
        </w:rPr>
        <w:t xml:space="preserve"> </w:t>
      </w:r>
      <w:r w:rsidRPr="00F07170">
        <w:rPr>
          <w:lang w:val="fr-CA"/>
        </w:rPr>
        <w:t>service</w:t>
      </w:r>
      <w:r w:rsidR="00F33C1C" w:rsidRPr="00F07170">
        <w:rPr>
          <w:lang w:val="fr-CA"/>
        </w:rPr>
        <w:t>.</w:t>
      </w:r>
    </w:p>
    <w:p w14:paraId="159EBBA9" w14:textId="5A2243FF" w:rsidR="00F33C1C" w:rsidRPr="00F07170" w:rsidRDefault="00231BF1" w:rsidP="00F33C1C">
      <w:pPr>
        <w:rPr>
          <w:lang w:val="fr-CA"/>
        </w:rPr>
      </w:pPr>
      <w:r w:rsidRPr="00F07170">
        <w:rPr>
          <w:lang w:val="fr-CA"/>
        </w:rPr>
        <w:t xml:space="preserve">Pour soutenir </w:t>
      </w:r>
      <w:r w:rsidR="00F33C1C" w:rsidRPr="00F07170">
        <w:rPr>
          <w:lang w:val="fr-CA"/>
        </w:rPr>
        <w:t xml:space="preserve">les clients </w:t>
      </w:r>
      <w:r w:rsidRPr="00F07170">
        <w:rPr>
          <w:lang w:val="fr-CA"/>
        </w:rPr>
        <w:t>qui ont</w:t>
      </w:r>
      <w:r w:rsidR="00F33C1C" w:rsidRPr="00F07170">
        <w:rPr>
          <w:lang w:val="fr-CA"/>
        </w:rPr>
        <w:t xml:space="preserve"> des préférences d</w:t>
      </w:r>
      <w:r w:rsidR="001407B6" w:rsidRPr="00F07170">
        <w:rPr>
          <w:lang w:val="fr-CA"/>
        </w:rPr>
        <w:t>’</w:t>
      </w:r>
      <w:r w:rsidR="00F33C1C" w:rsidRPr="00F07170">
        <w:rPr>
          <w:lang w:val="fr-CA"/>
        </w:rPr>
        <w:t>apprentissage différentes</w:t>
      </w:r>
      <w:r w:rsidRPr="00F07170">
        <w:rPr>
          <w:lang w:val="fr-CA"/>
        </w:rPr>
        <w:t>, il convient de fournir du contenu dans une variété de formats (par exemple, texte, audio, visuel)</w:t>
      </w:r>
      <w:r w:rsidR="00F33C1C" w:rsidRPr="00F07170">
        <w:rPr>
          <w:lang w:val="fr-CA"/>
        </w:rPr>
        <w:t xml:space="preserve">. </w:t>
      </w:r>
      <w:r w:rsidRPr="00F07170">
        <w:rPr>
          <w:lang w:val="fr-CA"/>
        </w:rPr>
        <w:t xml:space="preserve">Il convient également de tenir compte de l’accessibilité lors de la conception de la formation afin de permettre </w:t>
      </w:r>
      <w:r w:rsidR="00F33C1C" w:rsidRPr="00F07170">
        <w:rPr>
          <w:lang w:val="fr-CA"/>
        </w:rPr>
        <w:t>aux utilisateurs d</w:t>
      </w:r>
      <w:r w:rsidR="001407B6" w:rsidRPr="00F07170">
        <w:rPr>
          <w:lang w:val="fr-CA"/>
        </w:rPr>
        <w:t>’</w:t>
      </w:r>
      <w:r w:rsidRPr="00F07170">
        <w:rPr>
          <w:lang w:val="fr-CA"/>
        </w:rPr>
        <w:t xml:space="preserve">avoir </w:t>
      </w:r>
      <w:r w:rsidR="00F33C1C" w:rsidRPr="00F07170">
        <w:rPr>
          <w:lang w:val="fr-CA"/>
        </w:rPr>
        <w:t>acc</w:t>
      </w:r>
      <w:r w:rsidRPr="00F07170">
        <w:rPr>
          <w:lang w:val="fr-CA"/>
        </w:rPr>
        <w:t>ès</w:t>
      </w:r>
      <w:r w:rsidR="00F33C1C" w:rsidRPr="00F07170">
        <w:rPr>
          <w:lang w:val="fr-CA"/>
        </w:rPr>
        <w:t xml:space="preserve"> à des </w:t>
      </w:r>
      <w:r w:rsidRPr="00F07170">
        <w:rPr>
          <w:lang w:val="fr-CA"/>
        </w:rPr>
        <w:t>médias</w:t>
      </w:r>
      <w:r w:rsidR="00F33C1C" w:rsidRPr="00F07170">
        <w:rPr>
          <w:lang w:val="fr-CA"/>
        </w:rPr>
        <w:t xml:space="preserve"> </w:t>
      </w:r>
      <w:r w:rsidRPr="00F07170">
        <w:rPr>
          <w:lang w:val="fr-CA"/>
        </w:rPr>
        <w:t>substituts</w:t>
      </w:r>
      <w:r w:rsidR="00F33C1C" w:rsidRPr="00F07170">
        <w:rPr>
          <w:lang w:val="fr-CA"/>
        </w:rPr>
        <w:t xml:space="preserve"> d</w:t>
      </w:r>
      <w:r w:rsidRPr="00F07170">
        <w:rPr>
          <w:lang w:val="fr-CA"/>
        </w:rPr>
        <w:t>u</w:t>
      </w:r>
      <w:r w:rsidR="00F33C1C" w:rsidRPr="00F07170">
        <w:rPr>
          <w:lang w:val="fr-CA"/>
        </w:rPr>
        <w:t xml:space="preserve"> matériel d</w:t>
      </w:r>
      <w:r w:rsidR="001407B6" w:rsidRPr="00F07170">
        <w:rPr>
          <w:lang w:val="fr-CA"/>
        </w:rPr>
        <w:t>’</w:t>
      </w:r>
      <w:r w:rsidR="00F33C1C" w:rsidRPr="00F07170">
        <w:rPr>
          <w:lang w:val="fr-CA"/>
        </w:rPr>
        <w:t xml:space="preserve">apprentissage (par exemple, des </w:t>
      </w:r>
      <w:r w:rsidRPr="00F07170">
        <w:rPr>
          <w:lang w:val="fr-CA"/>
        </w:rPr>
        <w:t>documents</w:t>
      </w:r>
      <w:r w:rsidR="00F33C1C" w:rsidRPr="00F07170">
        <w:rPr>
          <w:lang w:val="fr-CA"/>
        </w:rPr>
        <w:t xml:space="preserve"> en </w:t>
      </w:r>
      <w:r w:rsidRPr="00F07170">
        <w:rPr>
          <w:lang w:val="fr-CA"/>
        </w:rPr>
        <w:t>langage simple</w:t>
      </w:r>
      <w:r w:rsidR="00F33C1C" w:rsidRPr="00F07170">
        <w:rPr>
          <w:lang w:val="fr-CA"/>
        </w:rPr>
        <w:t xml:space="preserve">, des transcriptions de vidéos) et de désactiver </w:t>
      </w:r>
      <w:r w:rsidRPr="00F07170">
        <w:rPr>
          <w:lang w:val="fr-CA"/>
        </w:rPr>
        <w:t>l</w:t>
      </w:r>
      <w:r w:rsidR="00F33C1C" w:rsidRPr="00F07170">
        <w:rPr>
          <w:lang w:val="fr-CA"/>
        </w:rPr>
        <w:t>es fonctions qui pourraient</w:t>
      </w:r>
      <w:r w:rsidRPr="00F07170">
        <w:rPr>
          <w:lang w:val="fr-CA"/>
        </w:rPr>
        <w:t xml:space="preserve"> nuire aux</w:t>
      </w:r>
      <w:r w:rsidR="00F33C1C" w:rsidRPr="00F07170">
        <w:rPr>
          <w:lang w:val="fr-CA"/>
        </w:rPr>
        <w:t xml:space="preserve"> technologies d</w:t>
      </w:r>
      <w:r w:rsidR="001407B6" w:rsidRPr="00F07170">
        <w:rPr>
          <w:lang w:val="fr-CA"/>
        </w:rPr>
        <w:t>’</w:t>
      </w:r>
      <w:r w:rsidR="00F33C1C" w:rsidRPr="00F07170">
        <w:rPr>
          <w:lang w:val="fr-CA"/>
        </w:rPr>
        <w:t>a</w:t>
      </w:r>
      <w:r w:rsidRPr="00F07170">
        <w:rPr>
          <w:lang w:val="fr-CA"/>
        </w:rPr>
        <w:t>ide</w:t>
      </w:r>
      <w:r w:rsidR="00F33C1C" w:rsidRPr="00F07170">
        <w:rPr>
          <w:lang w:val="fr-CA"/>
        </w:rPr>
        <w:t xml:space="preserve"> telles que les lecteurs d</w:t>
      </w:r>
      <w:r w:rsidR="001407B6" w:rsidRPr="00F07170">
        <w:rPr>
          <w:lang w:val="fr-CA"/>
        </w:rPr>
        <w:t>’</w:t>
      </w:r>
      <w:r w:rsidR="00F33C1C" w:rsidRPr="00F07170">
        <w:rPr>
          <w:lang w:val="fr-CA"/>
        </w:rPr>
        <w:t>écran.</w:t>
      </w:r>
    </w:p>
    <w:p w14:paraId="557D9ED4" w14:textId="14735690" w:rsidR="000E4F36" w:rsidRPr="00F07170" w:rsidRDefault="00F33C1C" w:rsidP="00F33C1C">
      <w:pPr>
        <w:rPr>
          <w:lang w:val="fr-CA"/>
        </w:rPr>
      </w:pPr>
      <w:r w:rsidRPr="00F07170">
        <w:rPr>
          <w:lang w:val="fr-CA"/>
        </w:rPr>
        <w:t>Le contenu du programme n</w:t>
      </w:r>
      <w:r w:rsidR="00231BF1" w:rsidRPr="00F07170">
        <w:rPr>
          <w:lang w:val="fr-CA"/>
        </w:rPr>
        <w:t xml:space="preserve">e représente </w:t>
      </w:r>
      <w:r w:rsidRPr="00F07170">
        <w:rPr>
          <w:lang w:val="fr-CA"/>
        </w:rPr>
        <w:t>qu</w:t>
      </w:r>
      <w:r w:rsidR="001407B6" w:rsidRPr="00F07170">
        <w:rPr>
          <w:lang w:val="fr-CA"/>
        </w:rPr>
        <w:t>’</w:t>
      </w:r>
      <w:r w:rsidRPr="00F07170">
        <w:rPr>
          <w:lang w:val="fr-CA"/>
        </w:rPr>
        <w:t>une partie de l</w:t>
      </w:r>
      <w:r w:rsidR="001407B6" w:rsidRPr="00F07170">
        <w:rPr>
          <w:lang w:val="fr-CA"/>
        </w:rPr>
        <w:t>’</w:t>
      </w:r>
      <w:r w:rsidRPr="00F07170">
        <w:rPr>
          <w:lang w:val="fr-CA"/>
        </w:rPr>
        <w:t xml:space="preserve">acquisition des compétences. Pour </w:t>
      </w:r>
      <w:r w:rsidR="00231BF1" w:rsidRPr="00F07170">
        <w:rPr>
          <w:lang w:val="fr-CA"/>
        </w:rPr>
        <w:t>d’autres</w:t>
      </w:r>
      <w:r w:rsidRPr="00F07170">
        <w:rPr>
          <w:lang w:val="fr-CA"/>
        </w:rPr>
        <w:t xml:space="preserve"> conseils sur l</w:t>
      </w:r>
      <w:r w:rsidR="001407B6" w:rsidRPr="00F07170">
        <w:rPr>
          <w:lang w:val="fr-CA"/>
        </w:rPr>
        <w:t>’</w:t>
      </w:r>
      <w:r w:rsidRPr="00F07170">
        <w:rPr>
          <w:lang w:val="fr-CA"/>
        </w:rPr>
        <w:t xml:space="preserve">accompagnement </w:t>
      </w:r>
      <w:r w:rsidR="00231BF1" w:rsidRPr="00F07170">
        <w:rPr>
          <w:lang w:val="fr-CA"/>
        </w:rPr>
        <w:t xml:space="preserve">personnalisé du programme </w:t>
      </w:r>
      <w:r w:rsidR="00234CD4" w:rsidRPr="00F07170">
        <w:rPr>
          <w:i/>
          <w:lang w:val="fr-CA"/>
        </w:rPr>
        <w:t>Compétences pour réussir</w:t>
      </w:r>
      <w:r w:rsidRPr="00F07170">
        <w:rPr>
          <w:lang w:val="fr-CA"/>
        </w:rPr>
        <w:t>, y compris des conseils sur l</w:t>
      </w:r>
      <w:r w:rsidR="001407B6" w:rsidRPr="00F07170">
        <w:rPr>
          <w:lang w:val="fr-CA"/>
        </w:rPr>
        <w:t>’</w:t>
      </w:r>
      <w:r w:rsidRPr="00F07170">
        <w:rPr>
          <w:lang w:val="fr-CA"/>
        </w:rPr>
        <w:t>établissement d</w:t>
      </w:r>
      <w:r w:rsidR="001407B6" w:rsidRPr="00F07170">
        <w:rPr>
          <w:lang w:val="fr-CA"/>
        </w:rPr>
        <w:t>’</w:t>
      </w:r>
      <w:r w:rsidRPr="00F07170">
        <w:rPr>
          <w:lang w:val="fr-CA"/>
        </w:rPr>
        <w:t>une relation client-</w:t>
      </w:r>
      <w:r w:rsidR="00231BF1" w:rsidRPr="00F07170">
        <w:rPr>
          <w:lang w:val="fr-CA"/>
        </w:rPr>
        <w:t>accompagnateur</w:t>
      </w:r>
      <w:r w:rsidRPr="00F07170">
        <w:rPr>
          <w:lang w:val="fr-CA"/>
        </w:rPr>
        <w:t xml:space="preserve"> et la création de plans de formation individualisés, </w:t>
      </w:r>
      <w:r w:rsidR="00231BF1" w:rsidRPr="00F07170">
        <w:rPr>
          <w:lang w:val="fr-CA"/>
        </w:rPr>
        <w:t xml:space="preserve">nous encourageons </w:t>
      </w:r>
      <w:r w:rsidRPr="00F07170">
        <w:rPr>
          <w:lang w:val="fr-CA"/>
        </w:rPr>
        <w:t xml:space="preserve">les </w:t>
      </w:r>
      <w:r w:rsidR="00231BF1" w:rsidRPr="00F07170">
        <w:rPr>
          <w:lang w:val="fr-CA"/>
        </w:rPr>
        <w:t xml:space="preserve">fournisseurs </w:t>
      </w:r>
      <w:r w:rsidRPr="00F07170">
        <w:rPr>
          <w:lang w:val="fr-CA"/>
        </w:rPr>
        <w:t xml:space="preserve">de services à consulter </w:t>
      </w:r>
      <w:hyperlink r:id="rId16" w:history="1">
        <w:r w:rsidR="00234CD4" w:rsidRPr="00F07170">
          <w:rPr>
            <w:rStyle w:val="Hyperlink"/>
            <w:i/>
            <w:lang w:val="fr-CA"/>
          </w:rPr>
          <w:t>Compétences pour réussir</w:t>
        </w:r>
        <w:r w:rsidR="002D3EA2" w:rsidRPr="00F07170">
          <w:rPr>
            <w:rStyle w:val="Hyperlink"/>
            <w:i/>
            <w:lang w:val="fr-CA"/>
          </w:rPr>
          <w:t xml:space="preserve"> </w:t>
        </w:r>
        <w:r w:rsidR="002D3EA2" w:rsidRPr="00F07170">
          <w:rPr>
            <w:rStyle w:val="Hyperlink"/>
            <w:lang w:val="fr-CA"/>
          </w:rPr>
          <w:t>– Guide d’accompagnement</w:t>
        </w:r>
        <w:r w:rsidRPr="00F07170">
          <w:rPr>
            <w:rStyle w:val="Hyperlink"/>
            <w:lang w:val="fr-CA"/>
          </w:rPr>
          <w:t xml:space="preserve"> </w:t>
        </w:r>
      </w:hyperlink>
      <w:r w:rsidR="00231BF1" w:rsidRPr="00F07170">
        <w:rPr>
          <w:lang w:val="fr-CA"/>
        </w:rPr>
        <w:t>du C</w:t>
      </w:r>
      <w:r w:rsidRPr="00F07170">
        <w:rPr>
          <w:lang w:val="fr-CA"/>
        </w:rPr>
        <w:t>CRT.</w:t>
      </w:r>
      <w:r w:rsidR="003F4494" w:rsidRPr="00F07170">
        <w:rPr>
          <w:rStyle w:val="EndnoteReference"/>
        </w:rPr>
        <w:endnoteReference w:id="4"/>
      </w:r>
    </w:p>
    <w:p w14:paraId="1E4DB2C7" w14:textId="58DE9048" w:rsidR="008501D5" w:rsidRPr="00F07170" w:rsidRDefault="008501D5">
      <w:pPr>
        <w:rPr>
          <w:lang w:val="fr-CA"/>
        </w:rPr>
      </w:pPr>
      <w:r w:rsidRPr="00F07170">
        <w:rPr>
          <w:lang w:val="fr-CA"/>
        </w:rPr>
        <w:br w:type="page"/>
      </w:r>
    </w:p>
    <w:p w14:paraId="707558F7" w14:textId="00938767" w:rsidR="002227A9" w:rsidRPr="00F07170" w:rsidRDefault="00B7623B" w:rsidP="000E4F36">
      <w:pPr>
        <w:pStyle w:val="Heading2"/>
        <w:rPr>
          <w:lang w:val="fr-CA"/>
        </w:rPr>
      </w:pPr>
      <w:bookmarkStart w:id="10" w:name="_Toc191281435"/>
      <w:r w:rsidRPr="00F07170">
        <w:rPr>
          <w:lang w:val="fr-CA"/>
        </w:rPr>
        <w:lastRenderedPageBreak/>
        <w:t xml:space="preserve">Recommandation 2 : </w:t>
      </w:r>
      <w:r w:rsidR="00231BF1" w:rsidRPr="00F07170">
        <w:rPr>
          <w:lang w:val="fr-CA"/>
        </w:rPr>
        <w:t>A</w:t>
      </w:r>
      <w:r w:rsidR="00550DFD" w:rsidRPr="00F07170">
        <w:rPr>
          <w:lang w:val="fr-CA"/>
        </w:rPr>
        <w:t>ider les demandeurs d</w:t>
      </w:r>
      <w:r w:rsidR="001407B6" w:rsidRPr="00F07170">
        <w:rPr>
          <w:lang w:val="fr-CA"/>
        </w:rPr>
        <w:t>’</w:t>
      </w:r>
      <w:r w:rsidR="00550DFD" w:rsidRPr="00F07170">
        <w:rPr>
          <w:lang w:val="fr-CA"/>
        </w:rPr>
        <w:t xml:space="preserve">emploi à reconnaître et à </w:t>
      </w:r>
      <w:r w:rsidR="00AF7C04" w:rsidRPr="00F07170">
        <w:rPr>
          <w:lang w:val="fr-CA"/>
        </w:rPr>
        <w:t>faire valoir</w:t>
      </w:r>
      <w:r w:rsidR="003A0C8B" w:rsidRPr="00F07170">
        <w:rPr>
          <w:lang w:val="fr-CA"/>
        </w:rPr>
        <w:t xml:space="preserve"> leurs </w:t>
      </w:r>
      <w:r w:rsidR="00550DFD" w:rsidRPr="00F07170">
        <w:rPr>
          <w:lang w:val="fr-CA"/>
        </w:rPr>
        <w:t>points forts</w:t>
      </w:r>
      <w:r w:rsidR="00576C5E" w:rsidRPr="00F07170">
        <w:rPr>
          <w:lang w:val="fr-CA"/>
        </w:rPr>
        <w:t>.</w:t>
      </w:r>
      <w:bookmarkEnd w:id="10"/>
    </w:p>
    <w:p w14:paraId="73B5DA63" w14:textId="63ABB572" w:rsidR="009A7924" w:rsidRPr="00F07170" w:rsidRDefault="009A7924" w:rsidP="009A7924">
      <w:pPr>
        <w:rPr>
          <w:lang w:val="fr-CA"/>
        </w:rPr>
      </w:pPr>
      <w:r w:rsidRPr="00F07170">
        <w:rPr>
          <w:lang w:val="fr-CA"/>
        </w:rPr>
        <w:t>Les demandeurs d</w:t>
      </w:r>
      <w:r w:rsidR="001407B6" w:rsidRPr="00F07170">
        <w:rPr>
          <w:lang w:val="fr-CA"/>
        </w:rPr>
        <w:t>’</w:t>
      </w:r>
      <w:r w:rsidRPr="00F07170">
        <w:rPr>
          <w:lang w:val="fr-CA"/>
        </w:rPr>
        <w:t>emploi possèdent souvent de nombreuses compétences qu</w:t>
      </w:r>
      <w:r w:rsidR="001407B6" w:rsidRPr="00F07170">
        <w:rPr>
          <w:lang w:val="fr-CA"/>
        </w:rPr>
        <w:t>’</w:t>
      </w:r>
      <w:r w:rsidRPr="00F07170">
        <w:rPr>
          <w:lang w:val="fr-CA"/>
        </w:rPr>
        <w:t xml:space="preserve">ils ont développées au cours de leurs études, de leurs expériences professionnelles antérieures et de leur vie quotidienne. Cependant, il arrive </w:t>
      </w:r>
      <w:r w:rsidR="00AF7C04" w:rsidRPr="00F07170">
        <w:rPr>
          <w:lang w:val="fr-CA"/>
        </w:rPr>
        <w:t xml:space="preserve">parfois </w:t>
      </w:r>
      <w:r w:rsidRPr="00F07170">
        <w:rPr>
          <w:lang w:val="fr-CA"/>
        </w:rPr>
        <w:t>qu</w:t>
      </w:r>
      <w:r w:rsidR="00AF7C04" w:rsidRPr="00F07170">
        <w:rPr>
          <w:lang w:val="fr-CA"/>
        </w:rPr>
        <w:t xml:space="preserve">’une </w:t>
      </w:r>
      <w:r w:rsidRPr="00F07170">
        <w:rPr>
          <w:lang w:val="fr-CA"/>
        </w:rPr>
        <w:t xml:space="preserve">personne ne </w:t>
      </w:r>
      <w:r w:rsidR="00AF7C04" w:rsidRPr="00F07170">
        <w:rPr>
          <w:lang w:val="fr-CA"/>
        </w:rPr>
        <w:t>reconnaisse pa</w:t>
      </w:r>
      <w:r w:rsidRPr="00F07170">
        <w:rPr>
          <w:lang w:val="fr-CA"/>
        </w:rPr>
        <w:t xml:space="preserve">s tous </w:t>
      </w:r>
      <w:r w:rsidR="00AF7C04" w:rsidRPr="00F07170">
        <w:rPr>
          <w:lang w:val="fr-CA"/>
        </w:rPr>
        <w:t>ses</w:t>
      </w:r>
      <w:r w:rsidRPr="00F07170">
        <w:rPr>
          <w:lang w:val="fr-CA"/>
        </w:rPr>
        <w:t xml:space="preserve"> points forts ou qu</w:t>
      </w:r>
      <w:r w:rsidR="001407B6" w:rsidRPr="00F07170">
        <w:rPr>
          <w:lang w:val="fr-CA"/>
        </w:rPr>
        <w:t>’</w:t>
      </w:r>
      <w:r w:rsidRPr="00F07170">
        <w:rPr>
          <w:lang w:val="fr-CA"/>
        </w:rPr>
        <w:t xml:space="preserve">elle ne sache pas comment </w:t>
      </w:r>
      <w:r w:rsidR="00AF7C04" w:rsidRPr="00F07170">
        <w:rPr>
          <w:lang w:val="fr-CA"/>
        </w:rPr>
        <w:t xml:space="preserve">utiliser ses </w:t>
      </w:r>
      <w:r w:rsidRPr="00F07170">
        <w:rPr>
          <w:lang w:val="fr-CA"/>
        </w:rPr>
        <w:t xml:space="preserve">compétences </w:t>
      </w:r>
      <w:r w:rsidR="00AF7C04" w:rsidRPr="00F07170">
        <w:rPr>
          <w:lang w:val="fr-CA"/>
        </w:rPr>
        <w:t>au</w:t>
      </w:r>
      <w:r w:rsidRPr="00F07170">
        <w:rPr>
          <w:lang w:val="fr-CA"/>
        </w:rPr>
        <w:t xml:space="preserve"> travail. Les </w:t>
      </w:r>
      <w:r w:rsidR="00AF7C04" w:rsidRPr="00F07170">
        <w:rPr>
          <w:lang w:val="fr-CA"/>
        </w:rPr>
        <w:t>fournisseurs</w:t>
      </w:r>
      <w:r w:rsidRPr="00F07170">
        <w:rPr>
          <w:lang w:val="fr-CA"/>
        </w:rPr>
        <w:t xml:space="preserve"> de services peuvent aider les clients à reconnaître, à </w:t>
      </w:r>
      <w:r w:rsidR="00AF7C04" w:rsidRPr="00F07170">
        <w:rPr>
          <w:lang w:val="fr-CA"/>
        </w:rPr>
        <w:t>utiliser</w:t>
      </w:r>
      <w:r w:rsidRPr="00F07170">
        <w:rPr>
          <w:lang w:val="fr-CA"/>
        </w:rPr>
        <w:t xml:space="preserve"> et à </w:t>
      </w:r>
      <w:r w:rsidR="00AF7C04" w:rsidRPr="00F07170">
        <w:rPr>
          <w:lang w:val="fr-CA"/>
        </w:rPr>
        <w:t>faire valoir</w:t>
      </w:r>
      <w:r w:rsidRPr="00F07170">
        <w:rPr>
          <w:lang w:val="fr-CA"/>
        </w:rPr>
        <w:t xml:space="preserve"> les compétences qu</w:t>
      </w:r>
      <w:r w:rsidR="001407B6" w:rsidRPr="00F07170">
        <w:rPr>
          <w:lang w:val="fr-CA"/>
        </w:rPr>
        <w:t>’</w:t>
      </w:r>
      <w:r w:rsidRPr="00F07170">
        <w:rPr>
          <w:lang w:val="fr-CA"/>
        </w:rPr>
        <w:t>ils possèdent déjà.</w:t>
      </w:r>
    </w:p>
    <w:p w14:paraId="70EA5961" w14:textId="0797612E" w:rsidR="009A7924" w:rsidRPr="00F07170" w:rsidRDefault="00AF7C04" w:rsidP="009A7924">
      <w:pPr>
        <w:rPr>
          <w:lang w:val="fr-CA"/>
        </w:rPr>
      </w:pPr>
      <w:r w:rsidRPr="00F07170">
        <w:rPr>
          <w:lang w:val="fr-CA"/>
        </w:rPr>
        <w:t xml:space="preserve">Grâce à des </w:t>
      </w:r>
      <w:r w:rsidR="009A7924" w:rsidRPr="00F07170">
        <w:rPr>
          <w:lang w:val="fr-CA"/>
        </w:rPr>
        <w:t>exercices de réflexion et de</w:t>
      </w:r>
      <w:r w:rsidRPr="00F07170">
        <w:rPr>
          <w:lang w:val="fr-CA"/>
        </w:rPr>
        <w:t>s</w:t>
      </w:r>
      <w:r w:rsidR="009A7924" w:rsidRPr="00F07170">
        <w:rPr>
          <w:lang w:val="fr-CA"/>
        </w:rPr>
        <w:t xml:space="preserve"> récits, les formateurs et les accompagnateurs peuvent aider les clients à identifier les compétences qu</w:t>
      </w:r>
      <w:r w:rsidR="001407B6" w:rsidRPr="00F07170">
        <w:rPr>
          <w:lang w:val="fr-CA"/>
        </w:rPr>
        <w:t>’</w:t>
      </w:r>
      <w:r w:rsidR="009A7924" w:rsidRPr="00F07170">
        <w:rPr>
          <w:lang w:val="fr-CA"/>
        </w:rPr>
        <w:t xml:space="preserve">ils utilisent dans la vie quotidienne et à </w:t>
      </w:r>
      <w:r w:rsidRPr="00F07170">
        <w:rPr>
          <w:lang w:val="fr-CA"/>
        </w:rPr>
        <w:t>les appliquer au</w:t>
      </w:r>
      <w:r w:rsidR="009A7924" w:rsidRPr="00F07170">
        <w:rPr>
          <w:lang w:val="fr-CA"/>
        </w:rPr>
        <w:t xml:space="preserve"> travail. P</w:t>
      </w:r>
      <w:r w:rsidRPr="00F07170">
        <w:rPr>
          <w:lang w:val="fr-CA"/>
        </w:rPr>
        <w:t>renons l’</w:t>
      </w:r>
      <w:r w:rsidR="009A7924" w:rsidRPr="00F07170">
        <w:rPr>
          <w:lang w:val="fr-CA"/>
        </w:rPr>
        <w:t>exemple</w:t>
      </w:r>
      <w:r w:rsidRPr="00F07170">
        <w:rPr>
          <w:lang w:val="fr-CA"/>
        </w:rPr>
        <w:t xml:space="preserve"> d’</w:t>
      </w:r>
      <w:r w:rsidR="009A7924" w:rsidRPr="00F07170">
        <w:rPr>
          <w:lang w:val="fr-CA"/>
        </w:rPr>
        <w:t>un demandeur d</w:t>
      </w:r>
      <w:r w:rsidR="001407B6" w:rsidRPr="00F07170">
        <w:rPr>
          <w:lang w:val="fr-CA"/>
        </w:rPr>
        <w:t>’</w:t>
      </w:r>
      <w:r w:rsidR="009A7924" w:rsidRPr="00F07170">
        <w:rPr>
          <w:lang w:val="fr-CA"/>
        </w:rPr>
        <w:t>emploi qui gère un emploi du temps chargé en rendez-vous médicaux personnels et en soins aux membres de sa famille</w:t>
      </w:r>
      <w:r w:rsidR="0072336E" w:rsidRPr="00F07170">
        <w:rPr>
          <w:lang w:val="fr-CA"/>
        </w:rPr>
        <w:t>. L’accompagnateur</w:t>
      </w:r>
      <w:r w:rsidR="009A7924" w:rsidRPr="00F07170">
        <w:rPr>
          <w:lang w:val="fr-CA"/>
        </w:rPr>
        <w:t xml:space="preserve"> peut encourager </w:t>
      </w:r>
      <w:r w:rsidR="0072336E" w:rsidRPr="00F07170">
        <w:rPr>
          <w:lang w:val="fr-CA"/>
        </w:rPr>
        <w:t>ce</w:t>
      </w:r>
      <w:r w:rsidR="009A7924" w:rsidRPr="00F07170">
        <w:rPr>
          <w:lang w:val="fr-CA"/>
        </w:rPr>
        <w:t xml:space="preserve"> client à </w:t>
      </w:r>
      <w:r w:rsidR="0072336E" w:rsidRPr="00F07170">
        <w:rPr>
          <w:lang w:val="fr-CA"/>
        </w:rPr>
        <w:t>présenter</w:t>
      </w:r>
      <w:r w:rsidR="009A7924" w:rsidRPr="00F07170">
        <w:rPr>
          <w:lang w:val="fr-CA"/>
        </w:rPr>
        <w:t xml:space="preserve"> ces activités comme des preuves de compétences en gestion du temps et </w:t>
      </w:r>
      <w:r w:rsidR="0072336E" w:rsidRPr="00F07170">
        <w:rPr>
          <w:lang w:val="fr-CA"/>
        </w:rPr>
        <w:t xml:space="preserve">en </w:t>
      </w:r>
      <w:r w:rsidR="009A7924" w:rsidRPr="00F07170">
        <w:rPr>
          <w:lang w:val="fr-CA"/>
        </w:rPr>
        <w:t>établissement de priorités. Un demandeur d</w:t>
      </w:r>
      <w:r w:rsidR="001407B6" w:rsidRPr="00F07170">
        <w:rPr>
          <w:lang w:val="fr-CA"/>
        </w:rPr>
        <w:t>’</w:t>
      </w:r>
      <w:r w:rsidR="009A7924" w:rsidRPr="00F07170">
        <w:rPr>
          <w:lang w:val="fr-CA"/>
        </w:rPr>
        <w:t>emploi qui règle souvent des conflits entre pairs peut présenter ces activités comme des preuves d</w:t>
      </w:r>
      <w:r w:rsidR="001407B6" w:rsidRPr="00F07170">
        <w:rPr>
          <w:lang w:val="fr-CA"/>
        </w:rPr>
        <w:t>’</w:t>
      </w:r>
      <w:r w:rsidR="009A7924" w:rsidRPr="00F07170">
        <w:rPr>
          <w:lang w:val="fr-CA"/>
        </w:rPr>
        <w:t>écoute active et de compétences en désescalade.</w:t>
      </w:r>
    </w:p>
    <w:p w14:paraId="6533F922" w14:textId="0893F746" w:rsidR="009A7924" w:rsidRPr="00F07170" w:rsidRDefault="00957A98" w:rsidP="009A7924">
      <w:pPr>
        <w:rPr>
          <w:lang w:val="fr-CA"/>
        </w:rPr>
      </w:pPr>
      <w:r w:rsidRPr="00F07170">
        <w:rPr>
          <w:lang w:val="fr-CA"/>
        </w:rPr>
        <w:t>Le personnel du CCRT a constaté que de nombreux demandeurs d</w:t>
      </w:r>
      <w:r w:rsidR="001407B6" w:rsidRPr="00F07170">
        <w:rPr>
          <w:lang w:val="fr-CA"/>
        </w:rPr>
        <w:t>’</w:t>
      </w:r>
      <w:r w:rsidRPr="00F07170">
        <w:rPr>
          <w:lang w:val="fr-CA"/>
        </w:rPr>
        <w:t xml:space="preserve">emploi ont développé de solides compétences transférables </w:t>
      </w:r>
      <w:r w:rsidR="0072336E" w:rsidRPr="00F07170">
        <w:rPr>
          <w:lang w:val="fr-CA"/>
        </w:rPr>
        <w:t>–</w:t>
      </w:r>
      <w:r w:rsidRPr="00F07170">
        <w:rPr>
          <w:lang w:val="fr-CA"/>
        </w:rPr>
        <w:t xml:space="preserve"> en particulier la capacité d</w:t>
      </w:r>
      <w:r w:rsidR="001407B6" w:rsidRPr="00F07170">
        <w:rPr>
          <w:lang w:val="fr-CA"/>
        </w:rPr>
        <w:t>’</w:t>
      </w:r>
      <w:r w:rsidRPr="00F07170">
        <w:rPr>
          <w:lang w:val="fr-CA"/>
        </w:rPr>
        <w:t xml:space="preserve">adaptation </w:t>
      </w:r>
      <w:r w:rsidR="0072336E" w:rsidRPr="00F07170">
        <w:rPr>
          <w:lang w:val="fr-CA"/>
        </w:rPr>
        <w:t>–</w:t>
      </w:r>
      <w:r w:rsidRPr="00F07170">
        <w:rPr>
          <w:lang w:val="fr-CA"/>
        </w:rPr>
        <w:t xml:space="preserve"> au cours de leur vie.</w:t>
      </w:r>
    </w:p>
    <w:p w14:paraId="0C1F404C" w14:textId="15C35973" w:rsidR="00957A98" w:rsidRPr="00F07170" w:rsidRDefault="00957A98" w:rsidP="00957A98">
      <w:pPr>
        <w:rPr>
          <w:lang w:val="fr-CA"/>
        </w:rPr>
      </w:pPr>
      <w:r w:rsidRPr="00F07170">
        <w:rPr>
          <w:lang w:val="fr-CA"/>
        </w:rPr>
        <w:t>La méthode STAR est une technique qui permet de transformer les points forts personnels en récits applicables au travail.</w:t>
      </w:r>
      <w:r w:rsidR="00381F84" w:rsidRPr="00F07170">
        <w:rPr>
          <w:rStyle w:val="EndnoteReference"/>
        </w:rPr>
        <w:endnoteReference w:id="5"/>
      </w:r>
      <w:r w:rsidRPr="00F07170">
        <w:rPr>
          <w:lang w:val="fr-CA"/>
        </w:rPr>
        <w:t xml:space="preserve"> Dans la méthode STAR, les demandeurs d</w:t>
      </w:r>
      <w:r w:rsidR="001407B6" w:rsidRPr="00F07170">
        <w:rPr>
          <w:lang w:val="fr-CA"/>
        </w:rPr>
        <w:t>’</w:t>
      </w:r>
      <w:r w:rsidRPr="00F07170">
        <w:rPr>
          <w:lang w:val="fr-CA"/>
        </w:rPr>
        <w:t>emploi déco</w:t>
      </w:r>
      <w:r w:rsidR="0072336E" w:rsidRPr="00F07170">
        <w:rPr>
          <w:lang w:val="fr-CA"/>
        </w:rPr>
        <w:t>rtiquent</w:t>
      </w:r>
      <w:r w:rsidRPr="00F07170">
        <w:rPr>
          <w:lang w:val="fr-CA"/>
        </w:rPr>
        <w:t xml:space="preserve"> un scénario</w:t>
      </w:r>
      <w:r w:rsidR="0072336E" w:rsidRPr="00F07170">
        <w:rPr>
          <w:lang w:val="fr-CA"/>
        </w:rPr>
        <w:t xml:space="preserve"> : ils </w:t>
      </w:r>
      <w:r w:rsidRPr="00F07170">
        <w:rPr>
          <w:lang w:val="fr-CA"/>
        </w:rPr>
        <w:t>expliqu</w:t>
      </w:r>
      <w:r w:rsidR="0072336E" w:rsidRPr="00F07170">
        <w:rPr>
          <w:lang w:val="fr-CA"/>
        </w:rPr>
        <w:t>e</w:t>
      </w:r>
      <w:r w:rsidRPr="00F07170">
        <w:rPr>
          <w:lang w:val="fr-CA"/>
        </w:rPr>
        <w:t>nt le contexte de la situation, la tâche dont ils ont assumé la responsabilité, les mesures qu</w:t>
      </w:r>
      <w:r w:rsidR="001407B6" w:rsidRPr="00F07170">
        <w:rPr>
          <w:lang w:val="fr-CA"/>
        </w:rPr>
        <w:t>’</w:t>
      </w:r>
      <w:r w:rsidRPr="00F07170">
        <w:rPr>
          <w:lang w:val="fr-CA"/>
        </w:rPr>
        <w:t>ils ont prises pour atteindre l</w:t>
      </w:r>
      <w:r w:rsidR="001407B6" w:rsidRPr="00F07170">
        <w:rPr>
          <w:lang w:val="fr-CA"/>
        </w:rPr>
        <w:t>’</w:t>
      </w:r>
      <w:r w:rsidRPr="00F07170">
        <w:rPr>
          <w:lang w:val="fr-CA"/>
        </w:rPr>
        <w:t>objectif et le résultat positif qu</w:t>
      </w:r>
      <w:r w:rsidR="001407B6" w:rsidRPr="00F07170">
        <w:rPr>
          <w:lang w:val="fr-CA"/>
        </w:rPr>
        <w:t>’</w:t>
      </w:r>
      <w:r w:rsidRPr="00F07170">
        <w:rPr>
          <w:lang w:val="fr-CA"/>
        </w:rPr>
        <w:t xml:space="preserve">ils ont obtenu. Les </w:t>
      </w:r>
      <w:r w:rsidR="0072336E" w:rsidRPr="00F07170">
        <w:rPr>
          <w:lang w:val="fr-CA"/>
        </w:rPr>
        <w:t>fournisseurs de service</w:t>
      </w:r>
      <w:r w:rsidRPr="00F07170">
        <w:rPr>
          <w:lang w:val="fr-CA"/>
        </w:rPr>
        <w:t xml:space="preserve"> peuvent également aider leurs clients à interpréter les </w:t>
      </w:r>
      <w:r w:rsidR="0072336E" w:rsidRPr="00F07170">
        <w:rPr>
          <w:lang w:val="fr-CA"/>
        </w:rPr>
        <w:t>offres d’emploi</w:t>
      </w:r>
      <w:r w:rsidRPr="00F07170">
        <w:rPr>
          <w:lang w:val="fr-CA"/>
        </w:rPr>
        <w:t xml:space="preserve"> afin d</w:t>
      </w:r>
      <w:r w:rsidR="001407B6" w:rsidRPr="00F07170">
        <w:rPr>
          <w:lang w:val="fr-CA"/>
        </w:rPr>
        <w:t>’</w:t>
      </w:r>
      <w:r w:rsidRPr="00F07170">
        <w:rPr>
          <w:lang w:val="fr-CA"/>
        </w:rPr>
        <w:t>identifier les compétences transférables pertinentes et les aider à fournir des exemples de leurs expériences.</w:t>
      </w:r>
    </w:p>
    <w:p w14:paraId="061F19FF" w14:textId="5C6E15D5" w:rsidR="005052D1" w:rsidRPr="00F07170" w:rsidRDefault="00957A98" w:rsidP="00B1541F">
      <w:pPr>
        <w:rPr>
          <w:lang w:val="fr-CA"/>
        </w:rPr>
      </w:pPr>
      <w:r w:rsidRPr="00F07170">
        <w:rPr>
          <w:lang w:val="fr-CA"/>
        </w:rPr>
        <w:t xml:space="preserve">En plus de </w:t>
      </w:r>
      <w:r w:rsidR="0072336E" w:rsidRPr="00F07170">
        <w:rPr>
          <w:lang w:val="fr-CA"/>
        </w:rPr>
        <w:t xml:space="preserve">mettre l’accent </w:t>
      </w:r>
      <w:r w:rsidRPr="00F07170">
        <w:rPr>
          <w:lang w:val="fr-CA"/>
        </w:rPr>
        <w:t>sur les points forts, les formateurs et les accompagnateurs peuvent aider les clients à identifier les domaines de croissance afin qu</w:t>
      </w:r>
      <w:r w:rsidR="001407B6" w:rsidRPr="00F07170">
        <w:rPr>
          <w:lang w:val="fr-CA"/>
        </w:rPr>
        <w:t>’</w:t>
      </w:r>
      <w:r w:rsidRPr="00F07170">
        <w:rPr>
          <w:lang w:val="fr-CA"/>
        </w:rPr>
        <w:t>ils sélectionne</w:t>
      </w:r>
      <w:r w:rsidR="0072336E" w:rsidRPr="00F07170">
        <w:rPr>
          <w:lang w:val="fr-CA"/>
        </w:rPr>
        <w:t>nt</w:t>
      </w:r>
      <w:r w:rsidRPr="00F07170">
        <w:rPr>
          <w:lang w:val="fr-CA"/>
        </w:rPr>
        <w:t xml:space="preserve"> les formations les plus utiles à leurs objectifs de carrière.</w:t>
      </w:r>
    </w:p>
    <w:p w14:paraId="7A423AE8" w14:textId="5EFB2C56" w:rsidR="008501D5" w:rsidRPr="00F07170" w:rsidRDefault="008501D5">
      <w:pPr>
        <w:rPr>
          <w:lang w:val="fr-CA"/>
        </w:rPr>
      </w:pPr>
      <w:r w:rsidRPr="00F07170">
        <w:rPr>
          <w:lang w:val="fr-CA"/>
        </w:rPr>
        <w:br w:type="page"/>
      </w:r>
    </w:p>
    <w:p w14:paraId="2B178B7A" w14:textId="6B46CB2E" w:rsidR="005052D1" w:rsidRPr="00F07170" w:rsidRDefault="0048259F" w:rsidP="000E4F36">
      <w:pPr>
        <w:pStyle w:val="Heading2"/>
        <w:rPr>
          <w:lang w:val="fr-CA"/>
        </w:rPr>
      </w:pPr>
      <w:bookmarkStart w:id="11" w:name="_Toc191281436"/>
      <w:r w:rsidRPr="00F07170">
        <w:rPr>
          <w:lang w:val="fr-CA"/>
        </w:rPr>
        <w:lastRenderedPageBreak/>
        <w:t xml:space="preserve">Recommandation 3 : Sensibiliser, </w:t>
      </w:r>
      <w:r w:rsidR="005052D1" w:rsidRPr="00F07170">
        <w:rPr>
          <w:lang w:val="fr-CA"/>
        </w:rPr>
        <w:t>dé</w:t>
      </w:r>
      <w:r w:rsidRPr="00F07170">
        <w:rPr>
          <w:lang w:val="fr-CA"/>
        </w:rPr>
        <w:t>construire</w:t>
      </w:r>
      <w:r w:rsidR="005052D1" w:rsidRPr="00F07170">
        <w:rPr>
          <w:lang w:val="fr-CA"/>
        </w:rPr>
        <w:t xml:space="preserve"> les </w:t>
      </w:r>
      <w:r w:rsidR="006D3F35" w:rsidRPr="00F07170">
        <w:rPr>
          <w:lang w:val="fr-CA"/>
        </w:rPr>
        <w:t xml:space="preserve">idées fausses et promouvoir </w:t>
      </w:r>
      <w:r w:rsidRPr="00F07170">
        <w:rPr>
          <w:lang w:val="fr-CA"/>
        </w:rPr>
        <w:t xml:space="preserve">l’inclusion des personnes en situation de </w:t>
      </w:r>
      <w:r w:rsidR="006D3F35" w:rsidRPr="00F07170">
        <w:rPr>
          <w:lang w:val="fr-CA"/>
        </w:rPr>
        <w:t>handicap</w:t>
      </w:r>
      <w:r w:rsidR="00576C5E" w:rsidRPr="00F07170">
        <w:rPr>
          <w:lang w:val="fr-CA"/>
        </w:rPr>
        <w:t>.</w:t>
      </w:r>
      <w:bookmarkEnd w:id="11"/>
    </w:p>
    <w:p w14:paraId="1D8B980E" w14:textId="39CF1006" w:rsidR="00E37800" w:rsidRPr="00F07170" w:rsidRDefault="00E37800" w:rsidP="00E37800">
      <w:pPr>
        <w:rPr>
          <w:lang w:val="fr-CA"/>
        </w:rPr>
      </w:pPr>
      <w:r w:rsidRPr="00F07170">
        <w:rPr>
          <w:lang w:val="fr-CA"/>
        </w:rPr>
        <w:t xml:space="preserve">Les organisations communautaires et les </w:t>
      </w:r>
      <w:r w:rsidR="0048259F" w:rsidRPr="00F07170">
        <w:rPr>
          <w:lang w:val="fr-CA"/>
        </w:rPr>
        <w:t>fournisseurs</w:t>
      </w:r>
      <w:r w:rsidRPr="00F07170">
        <w:rPr>
          <w:lang w:val="fr-CA"/>
        </w:rPr>
        <w:t xml:space="preserve"> de services ont un rôle important à jouer en tant qu</w:t>
      </w:r>
      <w:r w:rsidR="001407B6" w:rsidRPr="00F07170">
        <w:rPr>
          <w:lang w:val="fr-CA"/>
        </w:rPr>
        <w:t>’</w:t>
      </w:r>
      <w:r w:rsidRPr="00F07170">
        <w:rPr>
          <w:lang w:val="fr-CA"/>
        </w:rPr>
        <w:t xml:space="preserve">alliés et défenseurs des </w:t>
      </w:r>
      <w:r w:rsidR="0070292C" w:rsidRPr="00F07170">
        <w:rPr>
          <w:lang w:val="fr-CA"/>
        </w:rPr>
        <w:t>demandeurs d’emploi en situation de handicap</w:t>
      </w:r>
      <w:r w:rsidRPr="00F07170">
        <w:rPr>
          <w:lang w:val="fr-CA"/>
        </w:rPr>
        <w:t xml:space="preserve">. </w:t>
      </w:r>
      <w:r w:rsidR="0048259F" w:rsidRPr="00F07170">
        <w:rPr>
          <w:lang w:val="fr-CA"/>
        </w:rPr>
        <w:t xml:space="preserve">Ils peuvent sensibiliser </w:t>
      </w:r>
      <w:r w:rsidRPr="00F07170">
        <w:rPr>
          <w:lang w:val="fr-CA"/>
        </w:rPr>
        <w:t xml:space="preserve">les employeurs </w:t>
      </w:r>
      <w:r w:rsidR="0048259F" w:rsidRPr="00F07170">
        <w:rPr>
          <w:lang w:val="fr-CA"/>
        </w:rPr>
        <w:t>quant à</w:t>
      </w:r>
      <w:r w:rsidRPr="00F07170">
        <w:rPr>
          <w:lang w:val="fr-CA"/>
        </w:rPr>
        <w:t xml:space="preserve"> la diversité des compétences et d</w:t>
      </w:r>
      <w:r w:rsidR="0048259F" w:rsidRPr="00F07170">
        <w:rPr>
          <w:lang w:val="fr-CA"/>
        </w:rPr>
        <w:t>u</w:t>
      </w:r>
      <w:r w:rsidRPr="00F07170">
        <w:rPr>
          <w:lang w:val="fr-CA"/>
        </w:rPr>
        <w:t xml:space="preserve"> talent </w:t>
      </w:r>
      <w:r w:rsidR="0048259F" w:rsidRPr="00F07170">
        <w:rPr>
          <w:lang w:val="fr-CA"/>
        </w:rPr>
        <w:t>d</w:t>
      </w:r>
      <w:r w:rsidRPr="00F07170">
        <w:rPr>
          <w:lang w:val="fr-CA"/>
        </w:rPr>
        <w:t xml:space="preserve">es </w:t>
      </w:r>
      <w:r w:rsidR="008E0969" w:rsidRPr="00F07170">
        <w:rPr>
          <w:lang w:val="fr-CA"/>
        </w:rPr>
        <w:t>travailleurs en situation de handicap</w:t>
      </w:r>
      <w:r w:rsidRPr="00F07170">
        <w:rPr>
          <w:lang w:val="fr-CA"/>
        </w:rPr>
        <w:t xml:space="preserve"> et aid</w:t>
      </w:r>
      <w:r w:rsidR="0048259F" w:rsidRPr="00F07170">
        <w:rPr>
          <w:lang w:val="fr-CA"/>
        </w:rPr>
        <w:t>er</w:t>
      </w:r>
      <w:r w:rsidRPr="00F07170">
        <w:rPr>
          <w:lang w:val="fr-CA"/>
        </w:rPr>
        <w:t xml:space="preserve"> à dé</w:t>
      </w:r>
      <w:r w:rsidR="0048259F" w:rsidRPr="00F07170">
        <w:rPr>
          <w:lang w:val="fr-CA"/>
        </w:rPr>
        <w:t>cons</w:t>
      </w:r>
      <w:r w:rsidRPr="00F07170">
        <w:rPr>
          <w:lang w:val="fr-CA"/>
        </w:rPr>
        <w:t xml:space="preserve">truire les </w:t>
      </w:r>
      <w:r w:rsidR="0048259F" w:rsidRPr="00F07170">
        <w:rPr>
          <w:lang w:val="fr-CA"/>
        </w:rPr>
        <w:t>idées fausses</w:t>
      </w:r>
      <w:r w:rsidRPr="00F07170">
        <w:rPr>
          <w:lang w:val="fr-CA"/>
        </w:rPr>
        <w:t xml:space="preserve"> courant</w:t>
      </w:r>
      <w:r w:rsidR="0048259F" w:rsidRPr="00F07170">
        <w:rPr>
          <w:lang w:val="fr-CA"/>
        </w:rPr>
        <w:t>e</w:t>
      </w:r>
      <w:r w:rsidRPr="00F07170">
        <w:rPr>
          <w:lang w:val="fr-CA"/>
        </w:rPr>
        <w:t xml:space="preserve">s, </w:t>
      </w:r>
      <w:r w:rsidR="0048259F" w:rsidRPr="00F07170">
        <w:rPr>
          <w:lang w:val="fr-CA"/>
        </w:rPr>
        <w:t xml:space="preserve">et ainsi </w:t>
      </w:r>
      <w:r w:rsidRPr="00F07170">
        <w:rPr>
          <w:lang w:val="fr-CA"/>
        </w:rPr>
        <w:t>contribuer à faire progresser l</w:t>
      </w:r>
      <w:r w:rsidR="001407B6" w:rsidRPr="00F07170">
        <w:rPr>
          <w:lang w:val="fr-CA"/>
        </w:rPr>
        <w:t>’</w:t>
      </w:r>
      <w:r w:rsidRPr="00F07170">
        <w:rPr>
          <w:lang w:val="fr-CA"/>
        </w:rPr>
        <w:t xml:space="preserve">inclusion </w:t>
      </w:r>
      <w:r w:rsidR="0048259F" w:rsidRPr="00F07170">
        <w:rPr>
          <w:lang w:val="fr-CA"/>
        </w:rPr>
        <w:t xml:space="preserve">dans </w:t>
      </w:r>
      <w:r w:rsidRPr="00F07170">
        <w:rPr>
          <w:lang w:val="fr-CA"/>
        </w:rPr>
        <w:t xml:space="preserve">le </w:t>
      </w:r>
      <w:r w:rsidR="0048259F" w:rsidRPr="00F07170">
        <w:rPr>
          <w:lang w:val="fr-CA"/>
        </w:rPr>
        <w:t>mi</w:t>
      </w:r>
      <w:r w:rsidRPr="00F07170">
        <w:rPr>
          <w:lang w:val="fr-CA"/>
        </w:rPr>
        <w:t>lieu de travail.</w:t>
      </w:r>
    </w:p>
    <w:p w14:paraId="70F23657" w14:textId="57BD1696" w:rsidR="00E37800" w:rsidRPr="00F07170" w:rsidRDefault="00E37800" w:rsidP="00E37800">
      <w:pPr>
        <w:rPr>
          <w:lang w:val="fr-CA"/>
        </w:rPr>
      </w:pPr>
      <w:r w:rsidRPr="00F07170">
        <w:rPr>
          <w:lang w:val="fr-CA"/>
        </w:rPr>
        <w:t xml:space="preserve">Malheureusement, les préjugés et les idées fausses persistent. Les employeurs </w:t>
      </w:r>
      <w:r w:rsidR="0048259F" w:rsidRPr="00F07170">
        <w:rPr>
          <w:lang w:val="fr-CA"/>
        </w:rPr>
        <w:t xml:space="preserve">peuvent parfois faire preuve de réticence </w:t>
      </w:r>
      <w:r w:rsidRPr="00F07170">
        <w:rPr>
          <w:lang w:val="fr-CA"/>
        </w:rPr>
        <w:t xml:space="preserve">à fournir des </w:t>
      </w:r>
      <w:r w:rsidR="0048259F" w:rsidRPr="00F07170">
        <w:rPr>
          <w:lang w:val="fr-CA"/>
        </w:rPr>
        <w:t>mesures d’adaptation</w:t>
      </w:r>
      <w:r w:rsidRPr="00F07170">
        <w:rPr>
          <w:lang w:val="fr-CA"/>
        </w:rPr>
        <w:t xml:space="preserve">, </w:t>
      </w:r>
      <w:r w:rsidR="0048259F" w:rsidRPr="00F07170">
        <w:rPr>
          <w:lang w:val="fr-CA"/>
        </w:rPr>
        <w:t xml:space="preserve">se sentir </w:t>
      </w:r>
      <w:r w:rsidRPr="00F07170">
        <w:rPr>
          <w:lang w:val="fr-CA"/>
        </w:rPr>
        <w:t>mal à l</w:t>
      </w:r>
      <w:r w:rsidR="001407B6" w:rsidRPr="00F07170">
        <w:rPr>
          <w:lang w:val="fr-CA"/>
        </w:rPr>
        <w:t>’</w:t>
      </w:r>
      <w:r w:rsidRPr="00F07170">
        <w:rPr>
          <w:lang w:val="fr-CA"/>
        </w:rPr>
        <w:t xml:space="preserve">aise </w:t>
      </w:r>
      <w:r w:rsidR="0048259F" w:rsidRPr="00F07170">
        <w:rPr>
          <w:lang w:val="fr-CA"/>
        </w:rPr>
        <w:t>lors de</w:t>
      </w:r>
      <w:r w:rsidRPr="00F07170">
        <w:rPr>
          <w:lang w:val="fr-CA"/>
        </w:rPr>
        <w:t xml:space="preserve"> conversations sur le handicap, craindre les risques ou mal </w:t>
      </w:r>
      <w:r w:rsidR="00A57017" w:rsidRPr="00F07170">
        <w:rPr>
          <w:lang w:val="fr-CA"/>
        </w:rPr>
        <w:t>comprendre ce que représente l’expérience du</w:t>
      </w:r>
      <w:r w:rsidRPr="00F07170">
        <w:rPr>
          <w:lang w:val="fr-CA"/>
        </w:rPr>
        <w:t xml:space="preserve"> handicap. </w:t>
      </w:r>
      <w:r w:rsidR="00A57017" w:rsidRPr="00F07170">
        <w:rPr>
          <w:lang w:val="fr-CA"/>
        </w:rPr>
        <w:t>Pour ce qui est d</w:t>
      </w:r>
      <w:r w:rsidRPr="00F07170">
        <w:rPr>
          <w:lang w:val="fr-CA"/>
        </w:rPr>
        <w:t xml:space="preserve">es compétences transférables, </w:t>
      </w:r>
      <w:r w:rsidR="00A57017" w:rsidRPr="00F07170">
        <w:rPr>
          <w:lang w:val="fr-CA"/>
        </w:rPr>
        <w:t xml:space="preserve">le projet de recherche </w:t>
      </w:r>
      <w:r w:rsidRPr="00F07170">
        <w:rPr>
          <w:lang w:val="fr-CA"/>
        </w:rPr>
        <w:t>STEAM</w:t>
      </w:r>
      <w:r w:rsidR="00A57017" w:rsidRPr="00F07170">
        <w:rPr>
          <w:lang w:val="fr-CA"/>
        </w:rPr>
        <w:t xml:space="preserve"> nous a appris</w:t>
      </w:r>
      <w:r w:rsidRPr="00F07170">
        <w:rPr>
          <w:lang w:val="fr-CA"/>
        </w:rPr>
        <w:t xml:space="preserve"> que certains employeurs continuent de </w:t>
      </w:r>
      <w:r w:rsidR="00A57017" w:rsidRPr="00F07170">
        <w:rPr>
          <w:lang w:val="fr-CA"/>
        </w:rPr>
        <w:t>généraliser les capacités des</w:t>
      </w:r>
      <w:r w:rsidRPr="00F07170">
        <w:rPr>
          <w:lang w:val="fr-CA"/>
        </w:rPr>
        <w:t xml:space="preserve"> </w:t>
      </w:r>
      <w:r w:rsidR="008E0969" w:rsidRPr="00F07170">
        <w:rPr>
          <w:lang w:val="fr-CA"/>
        </w:rPr>
        <w:t>travailleurs en situation de handicap</w:t>
      </w:r>
      <w:r w:rsidR="00A57017" w:rsidRPr="00F07170">
        <w:rPr>
          <w:lang w:val="fr-CA"/>
        </w:rPr>
        <w:t xml:space="preserve">. Ils pensent, </w:t>
      </w:r>
      <w:r w:rsidRPr="00F07170">
        <w:rPr>
          <w:lang w:val="fr-CA"/>
        </w:rPr>
        <w:t>par exemple</w:t>
      </w:r>
      <w:r w:rsidR="00A57017" w:rsidRPr="00F07170">
        <w:rPr>
          <w:lang w:val="fr-CA"/>
        </w:rPr>
        <w:t xml:space="preserve">, que les travailleurs en situation de handicap ne peuvent </w:t>
      </w:r>
      <w:r w:rsidRPr="00F07170">
        <w:rPr>
          <w:lang w:val="fr-CA"/>
        </w:rPr>
        <w:t>s</w:t>
      </w:r>
      <w:r w:rsidR="001407B6" w:rsidRPr="00F07170">
        <w:rPr>
          <w:lang w:val="fr-CA"/>
        </w:rPr>
        <w:t>’</w:t>
      </w:r>
      <w:r w:rsidRPr="00F07170">
        <w:rPr>
          <w:lang w:val="fr-CA"/>
        </w:rPr>
        <w:t>adapter au</w:t>
      </w:r>
      <w:r w:rsidR="00A57017" w:rsidRPr="00F07170">
        <w:rPr>
          <w:lang w:val="fr-CA"/>
        </w:rPr>
        <w:t>x</w:t>
      </w:r>
      <w:r w:rsidRPr="00F07170">
        <w:rPr>
          <w:lang w:val="fr-CA"/>
        </w:rPr>
        <w:t xml:space="preserve"> changement</w:t>
      </w:r>
      <w:r w:rsidR="00A57017" w:rsidRPr="00F07170">
        <w:rPr>
          <w:lang w:val="fr-CA"/>
        </w:rPr>
        <w:t>s</w:t>
      </w:r>
      <w:r w:rsidRPr="00F07170">
        <w:rPr>
          <w:lang w:val="fr-CA"/>
        </w:rPr>
        <w:t xml:space="preserve"> ou sont incapables de résoudre des problèmes.</w:t>
      </w:r>
    </w:p>
    <w:p w14:paraId="228D1BB4" w14:textId="2C768778" w:rsidR="00E37800" w:rsidRPr="00F07170" w:rsidRDefault="00A57017" w:rsidP="00E37800">
      <w:pPr>
        <w:rPr>
          <w:lang w:val="fr-CA"/>
        </w:rPr>
      </w:pPr>
      <w:r w:rsidRPr="00F07170">
        <w:rPr>
          <w:lang w:val="fr-CA"/>
        </w:rPr>
        <w:t>C</w:t>
      </w:r>
      <w:r w:rsidR="00E37800" w:rsidRPr="00F07170">
        <w:rPr>
          <w:lang w:val="fr-CA"/>
        </w:rPr>
        <w:t>haque travailleur est unique</w:t>
      </w:r>
      <w:r w:rsidRPr="00F07170">
        <w:rPr>
          <w:lang w:val="fr-CA"/>
        </w:rPr>
        <w:t xml:space="preserve">, </w:t>
      </w:r>
      <w:r w:rsidR="00E37800" w:rsidRPr="00F07170">
        <w:rPr>
          <w:lang w:val="fr-CA"/>
        </w:rPr>
        <w:t>qu</w:t>
      </w:r>
      <w:r w:rsidR="001407B6" w:rsidRPr="00F07170">
        <w:rPr>
          <w:lang w:val="fr-CA"/>
        </w:rPr>
        <w:t>’</w:t>
      </w:r>
      <w:r w:rsidR="00E37800" w:rsidRPr="00F07170">
        <w:rPr>
          <w:lang w:val="fr-CA"/>
        </w:rPr>
        <w:t xml:space="preserve">il </w:t>
      </w:r>
      <w:r w:rsidRPr="00F07170">
        <w:rPr>
          <w:lang w:val="fr-CA"/>
        </w:rPr>
        <w:t xml:space="preserve">soit en situation de </w:t>
      </w:r>
      <w:r w:rsidR="00E37800" w:rsidRPr="00F07170">
        <w:rPr>
          <w:lang w:val="fr-CA"/>
        </w:rPr>
        <w:t xml:space="preserve">handicap ou non. </w:t>
      </w:r>
      <w:r w:rsidRPr="00F07170">
        <w:rPr>
          <w:lang w:val="fr-CA"/>
        </w:rPr>
        <w:t xml:space="preserve">Voilà l’un des principaux messages à transmettre aux employeurs. </w:t>
      </w:r>
      <w:r w:rsidR="00E37800" w:rsidRPr="00F07170">
        <w:rPr>
          <w:lang w:val="fr-CA"/>
        </w:rPr>
        <w:t xml:space="preserve">Un travailleur </w:t>
      </w:r>
      <w:r w:rsidR="006664CD" w:rsidRPr="00F07170">
        <w:rPr>
          <w:lang w:val="fr-CA"/>
        </w:rPr>
        <w:t xml:space="preserve">en situation de </w:t>
      </w:r>
      <w:r w:rsidR="00E37800" w:rsidRPr="00F07170">
        <w:rPr>
          <w:lang w:val="fr-CA"/>
        </w:rPr>
        <w:t xml:space="preserve">handicap peut </w:t>
      </w:r>
      <w:r w:rsidR="006664CD" w:rsidRPr="00F07170">
        <w:rPr>
          <w:lang w:val="fr-CA"/>
        </w:rPr>
        <w:t xml:space="preserve">avoir de la difficulté à </w:t>
      </w:r>
      <w:r w:rsidR="00E37800" w:rsidRPr="00F07170">
        <w:rPr>
          <w:lang w:val="fr-CA"/>
        </w:rPr>
        <w:t>s</w:t>
      </w:r>
      <w:r w:rsidR="001407B6" w:rsidRPr="00F07170">
        <w:rPr>
          <w:lang w:val="fr-CA"/>
        </w:rPr>
        <w:t>’</w:t>
      </w:r>
      <w:r w:rsidR="00E37800" w:rsidRPr="00F07170">
        <w:rPr>
          <w:lang w:val="fr-CA"/>
        </w:rPr>
        <w:t>adapter à de nouveaux processus, mais il est très efficace et habile dans la gestion de son temps</w:t>
      </w:r>
      <w:r w:rsidR="006664CD" w:rsidRPr="00F07170">
        <w:rPr>
          <w:lang w:val="fr-CA"/>
        </w:rPr>
        <w:t>. U</w:t>
      </w:r>
      <w:r w:rsidR="00E37800" w:rsidRPr="00F07170">
        <w:rPr>
          <w:lang w:val="fr-CA"/>
        </w:rPr>
        <w:t xml:space="preserve">n autre peut </w:t>
      </w:r>
      <w:proofErr w:type="gramStart"/>
      <w:r w:rsidR="00E37800" w:rsidRPr="00F07170">
        <w:rPr>
          <w:lang w:val="fr-CA"/>
        </w:rPr>
        <w:t>avoir</w:t>
      </w:r>
      <w:proofErr w:type="gramEnd"/>
      <w:r w:rsidR="00E37800" w:rsidRPr="00F07170">
        <w:rPr>
          <w:lang w:val="fr-CA"/>
        </w:rPr>
        <w:t xml:space="preserve"> des difficultés à se souvenir des </w:t>
      </w:r>
      <w:r w:rsidR="006664CD" w:rsidRPr="00F07170">
        <w:rPr>
          <w:lang w:val="fr-CA"/>
        </w:rPr>
        <w:t>échéanciers</w:t>
      </w:r>
      <w:r w:rsidR="00E37800" w:rsidRPr="00F07170">
        <w:rPr>
          <w:lang w:val="fr-CA"/>
        </w:rPr>
        <w:t xml:space="preserve">, </w:t>
      </w:r>
      <w:r w:rsidR="006664CD" w:rsidRPr="00F07170">
        <w:rPr>
          <w:lang w:val="fr-CA"/>
        </w:rPr>
        <w:t xml:space="preserve">mais il est très </w:t>
      </w:r>
      <w:r w:rsidR="00E37800" w:rsidRPr="00F07170">
        <w:rPr>
          <w:lang w:val="fr-CA"/>
        </w:rPr>
        <w:t>flexible et appren</w:t>
      </w:r>
      <w:r w:rsidR="006664CD" w:rsidRPr="00F07170">
        <w:rPr>
          <w:lang w:val="fr-CA"/>
        </w:rPr>
        <w:t>d</w:t>
      </w:r>
      <w:r w:rsidR="00E37800" w:rsidRPr="00F07170">
        <w:rPr>
          <w:lang w:val="fr-CA"/>
        </w:rPr>
        <w:t xml:space="preserve"> rapidement. </w:t>
      </w:r>
      <w:r w:rsidR="00BA7ABE" w:rsidRPr="00F07170">
        <w:rPr>
          <w:lang w:val="fr-CA"/>
        </w:rPr>
        <w:t xml:space="preserve">Ce qui est </w:t>
      </w:r>
      <w:r w:rsidR="006664CD" w:rsidRPr="00F07170">
        <w:rPr>
          <w:lang w:val="fr-CA"/>
        </w:rPr>
        <w:t>plus important,</w:t>
      </w:r>
      <w:r w:rsidR="00BA7ABE" w:rsidRPr="00F07170">
        <w:rPr>
          <w:lang w:val="fr-CA"/>
        </w:rPr>
        <w:t xml:space="preserve"> cependant, c’est que</w:t>
      </w:r>
      <w:r w:rsidR="006664CD" w:rsidRPr="00F07170">
        <w:rPr>
          <w:lang w:val="fr-CA"/>
        </w:rPr>
        <w:t xml:space="preserve"> c</w:t>
      </w:r>
      <w:r w:rsidR="00E37800" w:rsidRPr="00F07170">
        <w:rPr>
          <w:lang w:val="fr-CA"/>
        </w:rPr>
        <w:t xml:space="preserve">es deux travailleurs </w:t>
      </w:r>
      <w:r w:rsidR="006664CD" w:rsidRPr="00F07170">
        <w:rPr>
          <w:lang w:val="fr-CA"/>
        </w:rPr>
        <w:t xml:space="preserve">pourraient </w:t>
      </w:r>
      <w:r w:rsidR="00E37800" w:rsidRPr="00F07170">
        <w:rPr>
          <w:lang w:val="fr-CA"/>
        </w:rPr>
        <w:t>s</w:t>
      </w:r>
      <w:r w:rsidR="001407B6" w:rsidRPr="00F07170">
        <w:rPr>
          <w:lang w:val="fr-CA"/>
        </w:rPr>
        <w:t>’</w:t>
      </w:r>
      <w:r w:rsidR="00E37800" w:rsidRPr="00F07170">
        <w:rPr>
          <w:lang w:val="fr-CA"/>
        </w:rPr>
        <w:t xml:space="preserve">épanouir dans un rôle qui correspond à leurs points forts </w:t>
      </w:r>
      <w:r w:rsidR="006664CD" w:rsidRPr="00F07170">
        <w:rPr>
          <w:lang w:val="fr-CA"/>
        </w:rPr>
        <w:t xml:space="preserve">si on </w:t>
      </w:r>
      <w:r w:rsidR="00E37800" w:rsidRPr="00F07170">
        <w:rPr>
          <w:lang w:val="fr-CA"/>
        </w:rPr>
        <w:t>leur apporte</w:t>
      </w:r>
      <w:r w:rsidR="006664CD" w:rsidRPr="00F07170">
        <w:rPr>
          <w:lang w:val="fr-CA"/>
        </w:rPr>
        <w:t xml:space="preserve"> </w:t>
      </w:r>
      <w:r w:rsidR="00E37800" w:rsidRPr="00F07170">
        <w:rPr>
          <w:lang w:val="fr-CA"/>
        </w:rPr>
        <w:t xml:space="preserve">le soutien nécessaire pour éliminer les obstacles. </w:t>
      </w:r>
      <w:r w:rsidR="006664CD" w:rsidRPr="00F07170">
        <w:rPr>
          <w:lang w:val="fr-CA"/>
        </w:rPr>
        <w:t>Il se peut que l</w:t>
      </w:r>
      <w:r w:rsidR="00E37800" w:rsidRPr="00F07170">
        <w:rPr>
          <w:lang w:val="fr-CA"/>
        </w:rPr>
        <w:t xml:space="preserve">e premier travailleur </w:t>
      </w:r>
      <w:r w:rsidR="006664CD" w:rsidRPr="00F07170">
        <w:rPr>
          <w:lang w:val="fr-CA"/>
        </w:rPr>
        <w:t xml:space="preserve">ait seulement </w:t>
      </w:r>
      <w:r w:rsidR="00E37800" w:rsidRPr="00F07170">
        <w:rPr>
          <w:lang w:val="fr-CA"/>
        </w:rPr>
        <w:t>besoin d</w:t>
      </w:r>
      <w:r w:rsidR="001407B6" w:rsidRPr="00F07170">
        <w:rPr>
          <w:lang w:val="fr-CA"/>
        </w:rPr>
        <w:t>’</w:t>
      </w:r>
      <w:r w:rsidR="00E37800" w:rsidRPr="00F07170">
        <w:rPr>
          <w:lang w:val="fr-CA"/>
        </w:rPr>
        <w:t xml:space="preserve">un superviseur qui </w:t>
      </w:r>
      <w:r w:rsidR="006664CD" w:rsidRPr="00F07170">
        <w:rPr>
          <w:lang w:val="fr-CA"/>
        </w:rPr>
        <w:t xml:space="preserve">lui </w:t>
      </w:r>
      <w:r w:rsidR="00E37800" w:rsidRPr="00F07170">
        <w:rPr>
          <w:lang w:val="fr-CA"/>
        </w:rPr>
        <w:t>communique les changements de manière proactive et claire</w:t>
      </w:r>
      <w:r w:rsidR="006664CD" w:rsidRPr="00F07170">
        <w:rPr>
          <w:lang w:val="fr-CA"/>
        </w:rPr>
        <w:t>, alors que</w:t>
      </w:r>
      <w:r w:rsidR="00E37800" w:rsidRPr="00F07170">
        <w:rPr>
          <w:lang w:val="fr-CA"/>
        </w:rPr>
        <w:t xml:space="preserve"> le second </w:t>
      </w:r>
      <w:r w:rsidR="006664CD" w:rsidRPr="00F07170">
        <w:rPr>
          <w:lang w:val="fr-CA"/>
        </w:rPr>
        <w:t xml:space="preserve">a seulement </w:t>
      </w:r>
      <w:r w:rsidR="00E37800" w:rsidRPr="00F07170">
        <w:rPr>
          <w:lang w:val="fr-CA"/>
        </w:rPr>
        <w:t>besoin de rappels supplémentaires ou d</w:t>
      </w:r>
      <w:r w:rsidR="001407B6" w:rsidRPr="00F07170">
        <w:rPr>
          <w:lang w:val="fr-CA"/>
        </w:rPr>
        <w:t>’</w:t>
      </w:r>
      <w:r w:rsidR="00E37800" w:rsidRPr="00F07170">
        <w:rPr>
          <w:lang w:val="fr-CA"/>
        </w:rPr>
        <w:t>un outil de gestion des tâches.</w:t>
      </w:r>
    </w:p>
    <w:p w14:paraId="4EFB43C5" w14:textId="276B0DE4" w:rsidR="00E37800" w:rsidRPr="00F07170" w:rsidRDefault="00E37800" w:rsidP="00E37800">
      <w:pPr>
        <w:rPr>
          <w:lang w:val="fr-CA"/>
        </w:rPr>
      </w:pPr>
      <w:r w:rsidRPr="00F07170">
        <w:rPr>
          <w:lang w:val="fr-CA"/>
        </w:rPr>
        <w:t>Dans le même ordre d</w:t>
      </w:r>
      <w:r w:rsidR="001407B6" w:rsidRPr="00F07170">
        <w:rPr>
          <w:lang w:val="fr-CA"/>
        </w:rPr>
        <w:t>’</w:t>
      </w:r>
      <w:r w:rsidRPr="00F07170">
        <w:rPr>
          <w:lang w:val="fr-CA"/>
        </w:rPr>
        <w:t xml:space="preserve">idées, les employeurs ont la responsabilité de </w:t>
      </w:r>
      <w:r w:rsidR="006664CD" w:rsidRPr="00F07170">
        <w:rPr>
          <w:lang w:val="fr-CA"/>
        </w:rPr>
        <w:t xml:space="preserve">faire valoir </w:t>
      </w:r>
      <w:r w:rsidRPr="00F07170">
        <w:rPr>
          <w:lang w:val="fr-CA"/>
        </w:rPr>
        <w:t>les compétences transférables de leurs employés et d</w:t>
      </w:r>
      <w:r w:rsidR="001407B6" w:rsidRPr="00F07170">
        <w:rPr>
          <w:lang w:val="fr-CA"/>
        </w:rPr>
        <w:t>’</w:t>
      </w:r>
      <w:r w:rsidRPr="00F07170">
        <w:rPr>
          <w:lang w:val="fr-CA"/>
        </w:rPr>
        <w:t>évaluer les candidats et les travailleurs d</w:t>
      </w:r>
      <w:r w:rsidR="006664CD" w:rsidRPr="00F07170">
        <w:rPr>
          <w:lang w:val="fr-CA"/>
        </w:rPr>
        <w:t xml:space="preserve">e </w:t>
      </w:r>
      <w:r w:rsidRPr="00F07170">
        <w:rPr>
          <w:lang w:val="fr-CA"/>
        </w:rPr>
        <w:t xml:space="preserve">manière objective et inclusive. </w:t>
      </w:r>
      <w:r w:rsidR="00466F30" w:rsidRPr="00F07170">
        <w:rPr>
          <w:lang w:val="fr-CA"/>
        </w:rPr>
        <w:t>L</w:t>
      </w:r>
      <w:r w:rsidRPr="00F07170">
        <w:rPr>
          <w:lang w:val="fr-CA"/>
        </w:rPr>
        <w:t xml:space="preserve">es </w:t>
      </w:r>
      <w:r w:rsidR="006664CD" w:rsidRPr="00F07170">
        <w:rPr>
          <w:lang w:val="fr-CA"/>
        </w:rPr>
        <w:t>fournisseurs</w:t>
      </w:r>
      <w:r w:rsidRPr="00F07170">
        <w:rPr>
          <w:lang w:val="fr-CA"/>
        </w:rPr>
        <w:t xml:space="preserve"> de services qui assurent la liaison entre les travailleurs et les employeurs peuvent aider les deux parties à s</w:t>
      </w:r>
      <w:r w:rsidR="001407B6" w:rsidRPr="00F07170">
        <w:rPr>
          <w:lang w:val="fr-CA"/>
        </w:rPr>
        <w:t>’</w:t>
      </w:r>
      <w:r w:rsidRPr="00F07170">
        <w:rPr>
          <w:lang w:val="fr-CA"/>
        </w:rPr>
        <w:t xml:space="preserve">adapter à leurs styles de communication respectifs </w:t>
      </w:r>
      <w:r w:rsidR="00466F30" w:rsidRPr="00F07170">
        <w:rPr>
          <w:lang w:val="fr-CA"/>
        </w:rPr>
        <w:t>afin de</w:t>
      </w:r>
      <w:r w:rsidRPr="00F07170">
        <w:rPr>
          <w:lang w:val="fr-CA"/>
        </w:rPr>
        <w:t xml:space="preserve"> parvenir à une compréhension mutuelle. </w:t>
      </w:r>
      <w:r w:rsidR="00466F30" w:rsidRPr="00F07170">
        <w:rPr>
          <w:lang w:val="fr-CA"/>
        </w:rPr>
        <w:t>Ils</w:t>
      </w:r>
      <w:r w:rsidRPr="00F07170">
        <w:rPr>
          <w:lang w:val="fr-CA"/>
        </w:rPr>
        <w:t xml:space="preserve"> peuvent également </w:t>
      </w:r>
      <w:r w:rsidR="00466F30" w:rsidRPr="00F07170">
        <w:rPr>
          <w:lang w:val="fr-CA"/>
        </w:rPr>
        <w:t>sensibiliser les</w:t>
      </w:r>
      <w:r w:rsidRPr="00F07170">
        <w:rPr>
          <w:lang w:val="fr-CA"/>
        </w:rPr>
        <w:t xml:space="preserve"> employeurs </w:t>
      </w:r>
      <w:r w:rsidR="00466F30" w:rsidRPr="00F07170">
        <w:rPr>
          <w:lang w:val="fr-CA"/>
        </w:rPr>
        <w:t>à une évaluation objective d</w:t>
      </w:r>
      <w:r w:rsidRPr="00F07170">
        <w:rPr>
          <w:lang w:val="fr-CA"/>
        </w:rPr>
        <w:t xml:space="preserve">es compétences et pourquoi il </w:t>
      </w:r>
      <w:r w:rsidR="00466F30" w:rsidRPr="00F07170">
        <w:rPr>
          <w:lang w:val="fr-CA"/>
        </w:rPr>
        <w:t>faut éviter de recourir à son « </w:t>
      </w:r>
      <w:r w:rsidRPr="00F07170">
        <w:rPr>
          <w:lang w:val="fr-CA"/>
        </w:rPr>
        <w:t>instinct</w:t>
      </w:r>
      <w:r w:rsidR="00466F30" w:rsidRPr="00F07170">
        <w:rPr>
          <w:lang w:val="fr-CA"/>
        </w:rPr>
        <w:t> » ou à son « </w:t>
      </w:r>
      <w:r w:rsidRPr="00F07170">
        <w:rPr>
          <w:lang w:val="fr-CA"/>
        </w:rPr>
        <w:t>ressenti</w:t>
      </w:r>
      <w:r w:rsidR="00466F30" w:rsidRPr="00F07170">
        <w:rPr>
          <w:lang w:val="fr-CA"/>
        </w:rPr>
        <w:t> »</w:t>
      </w:r>
      <w:r w:rsidRPr="00F07170">
        <w:rPr>
          <w:lang w:val="fr-CA"/>
        </w:rPr>
        <w:t xml:space="preserve"> pour prendre des décisions.</w:t>
      </w:r>
    </w:p>
    <w:p w14:paraId="51782B4B" w14:textId="24609C33" w:rsidR="00E37800" w:rsidRPr="00F07170" w:rsidRDefault="00E37800" w:rsidP="00E37800">
      <w:pPr>
        <w:rPr>
          <w:lang w:val="fr-CA"/>
        </w:rPr>
      </w:pPr>
      <w:r w:rsidRPr="00F07170">
        <w:rPr>
          <w:lang w:val="fr-CA"/>
        </w:rPr>
        <w:t xml:space="preserve">Enfin, les </w:t>
      </w:r>
      <w:r w:rsidR="00466F30" w:rsidRPr="00F07170">
        <w:rPr>
          <w:lang w:val="fr-CA"/>
        </w:rPr>
        <w:t>fournisseurs de services</w:t>
      </w:r>
      <w:r w:rsidRPr="00F07170">
        <w:rPr>
          <w:lang w:val="fr-CA"/>
        </w:rPr>
        <w:t xml:space="preserve"> peuvent </w:t>
      </w:r>
      <w:r w:rsidR="00466F30" w:rsidRPr="00F07170">
        <w:rPr>
          <w:lang w:val="fr-CA"/>
        </w:rPr>
        <w:t xml:space="preserve">défendre et faire valoir les </w:t>
      </w:r>
      <w:r w:rsidRPr="00F07170">
        <w:rPr>
          <w:lang w:val="fr-CA"/>
        </w:rPr>
        <w:t>preuves non traditionnelles de</w:t>
      </w:r>
      <w:r w:rsidR="00466F30" w:rsidRPr="00F07170">
        <w:rPr>
          <w:lang w:val="fr-CA"/>
        </w:rPr>
        <w:t>s</w:t>
      </w:r>
      <w:r w:rsidRPr="00F07170">
        <w:rPr>
          <w:lang w:val="fr-CA"/>
        </w:rPr>
        <w:t xml:space="preserve"> compétences transférables </w:t>
      </w:r>
      <w:r w:rsidR="00466F30" w:rsidRPr="00F07170">
        <w:rPr>
          <w:lang w:val="fr-CA"/>
        </w:rPr>
        <w:t>–</w:t>
      </w:r>
      <w:r w:rsidRPr="00F07170">
        <w:rPr>
          <w:lang w:val="fr-CA"/>
        </w:rPr>
        <w:t xml:space="preserve"> </w:t>
      </w:r>
      <w:r w:rsidR="00466F30" w:rsidRPr="00F07170">
        <w:rPr>
          <w:lang w:val="fr-CA"/>
        </w:rPr>
        <w:t>comment</w:t>
      </w:r>
      <w:r w:rsidRPr="00F07170">
        <w:rPr>
          <w:lang w:val="fr-CA"/>
        </w:rPr>
        <w:t xml:space="preserve"> les expériences de vie </w:t>
      </w:r>
      <w:r w:rsidR="00466F30" w:rsidRPr="00F07170">
        <w:rPr>
          <w:lang w:val="fr-CA"/>
        </w:rPr>
        <w:t>à l’extérieur</w:t>
      </w:r>
      <w:r w:rsidRPr="00F07170">
        <w:rPr>
          <w:lang w:val="fr-CA"/>
        </w:rPr>
        <w:t xml:space="preserve"> du travail peuvent cultiver des </w:t>
      </w:r>
      <w:r w:rsidR="00466F30" w:rsidRPr="00F07170">
        <w:rPr>
          <w:lang w:val="fr-CA"/>
        </w:rPr>
        <w:t xml:space="preserve">aptitudes </w:t>
      </w:r>
      <w:r w:rsidRPr="00F07170">
        <w:rPr>
          <w:lang w:val="fr-CA"/>
        </w:rPr>
        <w:t>telles que la résilience, la pensée critique et la coopération.</w:t>
      </w:r>
    </w:p>
    <w:p w14:paraId="18BFBC05" w14:textId="2F5A25CC" w:rsidR="00E37800" w:rsidRPr="00F07170" w:rsidRDefault="00E37800" w:rsidP="00B1541F">
      <w:pPr>
        <w:rPr>
          <w:lang w:val="fr-CA"/>
        </w:rPr>
      </w:pPr>
      <w:r w:rsidRPr="00F07170">
        <w:rPr>
          <w:lang w:val="fr-CA"/>
        </w:rPr>
        <w:t xml:space="preserve">En </w:t>
      </w:r>
      <w:r w:rsidR="00466F30" w:rsidRPr="00F07170">
        <w:rPr>
          <w:lang w:val="fr-CA"/>
        </w:rPr>
        <w:t>intégrant</w:t>
      </w:r>
      <w:r w:rsidRPr="00F07170">
        <w:rPr>
          <w:lang w:val="fr-CA"/>
        </w:rPr>
        <w:t xml:space="preserve"> ces recommandations à la conception des programmes, au renforcement de la confiance en soi et </w:t>
      </w:r>
      <w:r w:rsidR="00466F30" w:rsidRPr="00F07170">
        <w:rPr>
          <w:lang w:val="fr-CA"/>
        </w:rPr>
        <w:t xml:space="preserve">aux interventions auprès </w:t>
      </w:r>
      <w:r w:rsidRPr="00F07170">
        <w:rPr>
          <w:lang w:val="fr-CA"/>
        </w:rPr>
        <w:t xml:space="preserve">des employeurs, et </w:t>
      </w:r>
      <w:r w:rsidR="00466F30" w:rsidRPr="00F07170">
        <w:rPr>
          <w:lang w:val="fr-CA"/>
        </w:rPr>
        <w:t xml:space="preserve">avec </w:t>
      </w:r>
      <w:r w:rsidRPr="00F07170">
        <w:rPr>
          <w:lang w:val="fr-CA"/>
        </w:rPr>
        <w:t>des techniques d</w:t>
      </w:r>
      <w:r w:rsidR="00466F30" w:rsidRPr="00F07170">
        <w:rPr>
          <w:lang w:val="fr-CA"/>
        </w:rPr>
        <w:t>’accompagnement</w:t>
      </w:r>
      <w:r w:rsidRPr="00F07170">
        <w:rPr>
          <w:lang w:val="fr-CA"/>
        </w:rPr>
        <w:t xml:space="preserve"> efficaces, les </w:t>
      </w:r>
      <w:r w:rsidR="00466F30" w:rsidRPr="00F07170">
        <w:rPr>
          <w:lang w:val="fr-CA"/>
        </w:rPr>
        <w:t>fournisseurs</w:t>
      </w:r>
      <w:r w:rsidRPr="00F07170">
        <w:rPr>
          <w:lang w:val="fr-CA"/>
        </w:rPr>
        <w:t xml:space="preserve"> de services peuvent donner aux </w:t>
      </w:r>
      <w:r w:rsidR="0070292C" w:rsidRPr="00F07170">
        <w:rPr>
          <w:lang w:val="fr-CA"/>
        </w:rPr>
        <w:t>demandeurs d’emploi en situation de handicap</w:t>
      </w:r>
      <w:r w:rsidRPr="00F07170">
        <w:rPr>
          <w:lang w:val="fr-CA"/>
        </w:rPr>
        <w:t xml:space="preserve"> les moyens de reconnaître leur potentiel et d</w:t>
      </w:r>
      <w:r w:rsidR="001407B6" w:rsidRPr="00F07170">
        <w:rPr>
          <w:lang w:val="fr-CA"/>
        </w:rPr>
        <w:t>’</w:t>
      </w:r>
      <w:r w:rsidR="00187017" w:rsidRPr="00F07170">
        <w:rPr>
          <w:lang w:val="fr-CA"/>
        </w:rPr>
        <w:t>utiliser</w:t>
      </w:r>
      <w:r w:rsidRPr="00F07170">
        <w:rPr>
          <w:lang w:val="fr-CA"/>
        </w:rPr>
        <w:t xml:space="preserve"> leurs compétences </w:t>
      </w:r>
      <w:r w:rsidR="00466F30" w:rsidRPr="00F07170">
        <w:rPr>
          <w:lang w:val="fr-CA"/>
        </w:rPr>
        <w:t>dans le mi</w:t>
      </w:r>
      <w:r w:rsidRPr="00F07170">
        <w:rPr>
          <w:lang w:val="fr-CA"/>
        </w:rPr>
        <w:t>lieu de travail</w:t>
      </w:r>
      <w:r w:rsidR="00187017" w:rsidRPr="00F07170">
        <w:rPr>
          <w:lang w:val="fr-CA"/>
        </w:rPr>
        <w:t xml:space="preserve"> en toute confiance</w:t>
      </w:r>
      <w:r w:rsidRPr="00F07170">
        <w:rPr>
          <w:lang w:val="fr-CA"/>
        </w:rPr>
        <w:t>.</w:t>
      </w:r>
    </w:p>
    <w:p w14:paraId="3C1B0717" w14:textId="7E0EF8DD" w:rsidR="008501D5" w:rsidRPr="00F07170" w:rsidRDefault="008501D5">
      <w:pPr>
        <w:rPr>
          <w:lang w:val="fr-CA"/>
        </w:rPr>
      </w:pPr>
      <w:r w:rsidRPr="00F07170">
        <w:rPr>
          <w:lang w:val="fr-CA"/>
        </w:rPr>
        <w:br w:type="page"/>
      </w:r>
    </w:p>
    <w:p w14:paraId="71DD8E45" w14:textId="0C278481" w:rsidR="00656283" w:rsidRPr="00F07170" w:rsidRDefault="00656283" w:rsidP="00656283">
      <w:pPr>
        <w:pStyle w:val="Heading2"/>
        <w:rPr>
          <w:lang w:val="fr-CA"/>
        </w:rPr>
      </w:pPr>
      <w:bookmarkStart w:id="12" w:name="_Toc191281437"/>
      <w:r w:rsidRPr="00F07170">
        <w:rPr>
          <w:lang w:val="fr-CA"/>
        </w:rPr>
        <w:lastRenderedPageBreak/>
        <w:t>Autres ressources</w:t>
      </w:r>
      <w:bookmarkEnd w:id="12"/>
    </w:p>
    <w:p w14:paraId="0ADC904C" w14:textId="76BE808F" w:rsidR="00576C5E" w:rsidRPr="00F07170" w:rsidRDefault="00A549BF">
      <w:pPr>
        <w:rPr>
          <w:lang w:val="fr-CA"/>
        </w:rPr>
      </w:pPr>
      <w:r w:rsidRPr="00F07170">
        <w:rPr>
          <w:lang w:val="fr-CA"/>
        </w:rPr>
        <w:t xml:space="preserve">Vous souhaitez en savoir plus sur la confiance </w:t>
      </w:r>
      <w:r w:rsidR="00C91AE2" w:rsidRPr="00F07170">
        <w:rPr>
          <w:lang w:val="fr-CA"/>
        </w:rPr>
        <w:t>que les</w:t>
      </w:r>
      <w:r w:rsidRPr="00F07170">
        <w:rPr>
          <w:lang w:val="fr-CA"/>
        </w:rPr>
        <w:t xml:space="preserve"> employeurs </w:t>
      </w:r>
      <w:r w:rsidR="00C91AE2" w:rsidRPr="00F07170">
        <w:rPr>
          <w:lang w:val="fr-CA"/>
        </w:rPr>
        <w:t>accordent aux</w:t>
      </w:r>
      <w:r w:rsidRPr="00F07170">
        <w:rPr>
          <w:lang w:val="fr-CA"/>
        </w:rPr>
        <w:t xml:space="preserve"> </w:t>
      </w:r>
      <w:r w:rsidR="00150926" w:rsidRPr="00F07170">
        <w:rPr>
          <w:lang w:val="fr-CA"/>
        </w:rPr>
        <w:t>personnes en situation de handicap</w:t>
      </w:r>
      <w:r w:rsidRPr="00F07170">
        <w:rPr>
          <w:lang w:val="fr-CA"/>
        </w:rPr>
        <w:t xml:space="preserve"> ou sur la manière d</w:t>
      </w:r>
      <w:r w:rsidR="001407B6" w:rsidRPr="00F07170">
        <w:rPr>
          <w:lang w:val="fr-CA"/>
        </w:rPr>
        <w:t>’</w:t>
      </w:r>
      <w:r w:rsidRPr="00F07170">
        <w:rPr>
          <w:lang w:val="fr-CA"/>
        </w:rPr>
        <w:t xml:space="preserve">encadrer et de former </w:t>
      </w:r>
      <w:r w:rsidR="00C91AE2" w:rsidRPr="00F07170">
        <w:rPr>
          <w:lang w:val="fr-CA"/>
        </w:rPr>
        <w:t xml:space="preserve">les personnes grâce </w:t>
      </w:r>
      <w:r w:rsidRPr="00F07170">
        <w:rPr>
          <w:lang w:val="fr-CA"/>
        </w:rPr>
        <w:t xml:space="preserve">aux </w:t>
      </w:r>
      <w:r w:rsidR="00234CD4" w:rsidRPr="00F07170">
        <w:rPr>
          <w:i/>
          <w:lang w:val="fr-CA"/>
        </w:rPr>
        <w:t>Compétences pour réussir</w:t>
      </w:r>
      <w:r w:rsidRPr="00F07170">
        <w:rPr>
          <w:lang w:val="fr-CA"/>
        </w:rPr>
        <w:t>? Consultez quelques-unes de nos autres ressources ci-dessous.</w:t>
      </w:r>
    </w:p>
    <w:p w14:paraId="7CAF2E97" w14:textId="02358CE3" w:rsidR="00A549BF" w:rsidRPr="00F07170" w:rsidRDefault="00C91AE2">
      <w:pPr>
        <w:rPr>
          <w:lang w:val="fr-CA"/>
        </w:rPr>
      </w:pPr>
      <w:hyperlink r:id="rId17" w:tgtFrame="_blank" w:history="1">
        <w:r w:rsidRPr="00F07170">
          <w:rPr>
            <w:rStyle w:val="Hyperlink"/>
            <w:lang w:val="fr-CA"/>
          </w:rPr>
          <w:t>Projets de</w:t>
        </w:r>
        <w:r w:rsidR="00A549BF" w:rsidRPr="00F07170">
          <w:rPr>
            <w:rStyle w:val="Hyperlink"/>
            <w:lang w:val="fr-CA"/>
          </w:rPr>
          <w:t xml:space="preserve"> recherche du CCRT.</w:t>
        </w:r>
      </w:hyperlink>
    </w:p>
    <w:p w14:paraId="472FE1C4" w14:textId="3B06BB5B" w:rsidR="00A549BF" w:rsidRPr="00F07170" w:rsidRDefault="00234CD4" w:rsidP="00A549BF">
      <w:pPr>
        <w:rPr>
          <w:lang w:val="fr-CA"/>
        </w:rPr>
      </w:pPr>
      <w:hyperlink r:id="rId18" w:tgtFrame="_blank" w:history="1">
        <w:r w:rsidRPr="00F07170">
          <w:rPr>
            <w:rStyle w:val="Hyperlink"/>
            <w:i/>
            <w:lang w:val="fr-CA"/>
          </w:rPr>
          <w:t>Compétences pour réussir</w:t>
        </w:r>
        <w:r w:rsidR="00C91AE2" w:rsidRPr="00F07170">
          <w:rPr>
            <w:rStyle w:val="Hyperlink"/>
            <w:lang w:val="fr-CA"/>
          </w:rPr>
          <w:t xml:space="preserve"> </w:t>
        </w:r>
        <w:r w:rsidRPr="00F07170">
          <w:rPr>
            <w:rStyle w:val="Hyperlink"/>
            <w:lang w:val="fr-CA"/>
          </w:rPr>
          <w:t>–</w:t>
        </w:r>
        <w:r w:rsidR="00C91AE2" w:rsidRPr="00F07170">
          <w:rPr>
            <w:rStyle w:val="Hyperlink"/>
            <w:lang w:val="fr-CA"/>
          </w:rPr>
          <w:t xml:space="preserve"> Guide d’accompagnement</w:t>
        </w:r>
      </w:hyperlink>
      <w:r w:rsidR="00C91AE2" w:rsidRPr="00F07170">
        <w:rPr>
          <w:rStyle w:val="Hyperlink"/>
          <w:lang w:val="fr-CA"/>
        </w:rPr>
        <w:t xml:space="preserve"> </w:t>
      </w:r>
    </w:p>
    <w:p w14:paraId="02C79EDB" w14:textId="69A76420" w:rsidR="00A549BF" w:rsidRPr="00F07170" w:rsidRDefault="00A549BF" w:rsidP="00A549BF">
      <w:pPr>
        <w:rPr>
          <w:lang w:val="fr-CA"/>
        </w:rPr>
      </w:pPr>
      <w:r w:rsidRPr="00F07170">
        <w:rPr>
          <w:lang w:val="fr-CA"/>
        </w:rPr>
        <w:t xml:space="preserve">Le </w:t>
      </w:r>
      <w:r w:rsidR="00C91AE2" w:rsidRPr="00F07170">
        <w:rPr>
          <w:lang w:val="fr-CA"/>
        </w:rPr>
        <w:t xml:space="preserve">guide d’accompagnement </w:t>
      </w:r>
      <w:r w:rsidR="00234CD4" w:rsidRPr="00F07170">
        <w:rPr>
          <w:i/>
          <w:lang w:val="fr-CA"/>
        </w:rPr>
        <w:t>Compétences pour réussir</w:t>
      </w:r>
      <w:r w:rsidR="00C91AE2" w:rsidRPr="00F07170">
        <w:rPr>
          <w:lang w:val="fr-CA"/>
        </w:rPr>
        <w:t xml:space="preserve"> présente d</w:t>
      </w:r>
      <w:r w:rsidRPr="00F07170">
        <w:rPr>
          <w:lang w:val="fr-CA"/>
        </w:rPr>
        <w:t>es pratiques</w:t>
      </w:r>
      <w:r w:rsidR="00C91AE2" w:rsidRPr="00F07170">
        <w:rPr>
          <w:lang w:val="fr-CA"/>
        </w:rPr>
        <w:t xml:space="preserve"> exemplaires </w:t>
      </w:r>
      <w:r w:rsidRPr="00F07170">
        <w:rPr>
          <w:lang w:val="fr-CA"/>
        </w:rPr>
        <w:t>d</w:t>
      </w:r>
      <w:r w:rsidR="00234CD4" w:rsidRPr="00F07170">
        <w:rPr>
          <w:lang w:val="fr-CA"/>
        </w:rPr>
        <w:t>e l</w:t>
      </w:r>
      <w:r w:rsidR="001407B6" w:rsidRPr="00F07170">
        <w:rPr>
          <w:lang w:val="fr-CA"/>
        </w:rPr>
        <w:t>’</w:t>
      </w:r>
      <w:r w:rsidRPr="00F07170">
        <w:rPr>
          <w:lang w:val="fr-CA"/>
        </w:rPr>
        <w:t>accompagnement et d</w:t>
      </w:r>
      <w:r w:rsidR="00234CD4" w:rsidRPr="00F07170">
        <w:rPr>
          <w:lang w:val="fr-CA"/>
        </w:rPr>
        <w:t>e l</w:t>
      </w:r>
      <w:r w:rsidR="001407B6" w:rsidRPr="00F07170">
        <w:rPr>
          <w:lang w:val="fr-CA"/>
        </w:rPr>
        <w:t>’</w:t>
      </w:r>
      <w:r w:rsidR="00234CD4" w:rsidRPr="00F07170">
        <w:rPr>
          <w:lang w:val="fr-CA"/>
        </w:rPr>
        <w:t>enseignement des compétences</w:t>
      </w:r>
      <w:r w:rsidRPr="00F07170">
        <w:rPr>
          <w:lang w:val="fr-CA"/>
        </w:rPr>
        <w:t xml:space="preserve"> aux </w:t>
      </w:r>
      <w:r w:rsidR="0070292C" w:rsidRPr="00F07170">
        <w:rPr>
          <w:lang w:val="fr-CA"/>
        </w:rPr>
        <w:t>demandeurs d’emploi en situation de handicap</w:t>
      </w:r>
      <w:r w:rsidR="00234CD4" w:rsidRPr="00F07170">
        <w:rPr>
          <w:lang w:val="fr-CA"/>
        </w:rPr>
        <w:t xml:space="preserve">. Il comprend des conseils sur la manière d’établir </w:t>
      </w:r>
      <w:r w:rsidRPr="00F07170">
        <w:rPr>
          <w:lang w:val="fr-CA"/>
        </w:rPr>
        <w:t xml:space="preserve">une relation, </w:t>
      </w:r>
      <w:r w:rsidR="00234CD4" w:rsidRPr="00F07170">
        <w:rPr>
          <w:lang w:val="fr-CA"/>
        </w:rPr>
        <w:t>les</w:t>
      </w:r>
      <w:r w:rsidRPr="00F07170">
        <w:rPr>
          <w:lang w:val="fr-CA"/>
        </w:rPr>
        <w:t xml:space="preserve"> techniques d</w:t>
      </w:r>
      <w:r w:rsidR="001407B6" w:rsidRPr="00F07170">
        <w:rPr>
          <w:lang w:val="fr-CA"/>
        </w:rPr>
        <w:t>’</w:t>
      </w:r>
      <w:r w:rsidRPr="00F07170">
        <w:rPr>
          <w:lang w:val="fr-CA"/>
        </w:rPr>
        <w:t>enseignement efficaces et l</w:t>
      </w:r>
      <w:r w:rsidR="001407B6" w:rsidRPr="00F07170">
        <w:rPr>
          <w:lang w:val="fr-CA"/>
        </w:rPr>
        <w:t>’</w:t>
      </w:r>
      <w:r w:rsidRPr="00F07170">
        <w:rPr>
          <w:lang w:val="fr-CA"/>
        </w:rPr>
        <w:t>utilisation d</w:t>
      </w:r>
      <w:r w:rsidR="001407B6" w:rsidRPr="00F07170">
        <w:rPr>
          <w:lang w:val="fr-CA"/>
        </w:rPr>
        <w:t>’</w:t>
      </w:r>
      <w:r w:rsidRPr="00F07170">
        <w:rPr>
          <w:lang w:val="fr-CA"/>
        </w:rPr>
        <w:t>approches dirigées par le client.</w:t>
      </w:r>
    </w:p>
    <w:p w14:paraId="02EB6E94" w14:textId="77777777" w:rsidR="008A53C4" w:rsidRPr="00F07170" w:rsidRDefault="00234CD4">
      <w:pPr>
        <w:rPr>
          <w:lang w:val="fr-CA"/>
        </w:rPr>
      </w:pPr>
      <w:hyperlink r:id="rId19" w:tgtFrame="_blank" w:history="1">
        <w:r w:rsidRPr="00F07170">
          <w:rPr>
            <w:rStyle w:val="Hyperlink"/>
            <w:lang w:val="fr-CA"/>
          </w:rPr>
          <w:t>Faire c</w:t>
        </w:r>
        <w:r w:rsidR="00803F9A" w:rsidRPr="00F07170">
          <w:rPr>
            <w:rStyle w:val="Hyperlink"/>
            <w:lang w:val="fr-CA"/>
          </w:rPr>
          <w:t xml:space="preserve">onfiance </w:t>
        </w:r>
        <w:r w:rsidRPr="00F07170">
          <w:rPr>
            <w:rStyle w:val="Hyperlink"/>
            <w:lang w:val="fr-CA"/>
          </w:rPr>
          <w:t>aux</w:t>
        </w:r>
        <w:r w:rsidR="00803F9A" w:rsidRPr="00F07170">
          <w:rPr>
            <w:rStyle w:val="Hyperlink"/>
            <w:lang w:val="fr-CA"/>
          </w:rPr>
          <w:t xml:space="preserve"> </w:t>
        </w:r>
        <w:r w:rsidR="00150926" w:rsidRPr="00F07170">
          <w:rPr>
            <w:rStyle w:val="Hyperlink"/>
            <w:lang w:val="fr-CA"/>
          </w:rPr>
          <w:t>personnes en situation de handicap</w:t>
        </w:r>
      </w:hyperlink>
      <w:r w:rsidRPr="00F07170">
        <w:rPr>
          <w:rStyle w:val="Hyperlink"/>
          <w:lang w:val="fr-CA"/>
        </w:rPr>
        <w:t xml:space="preserve"> – Boîte à outils</w:t>
      </w:r>
      <w:r w:rsidR="008A53C4" w:rsidRPr="00F07170">
        <w:rPr>
          <w:lang w:val="fr-CA"/>
        </w:rPr>
        <w:t xml:space="preserve"> (</w:t>
      </w:r>
      <w:r w:rsidR="008A53C4" w:rsidRPr="00F07170">
        <w:rPr>
          <w:i/>
          <w:iCs/>
          <w:lang w:val="fr-CA"/>
        </w:rPr>
        <w:t>en anglais seulement</w:t>
      </w:r>
      <w:r w:rsidR="008A53C4" w:rsidRPr="00F07170">
        <w:rPr>
          <w:lang w:val="fr-CA"/>
        </w:rPr>
        <w:t>)</w:t>
      </w:r>
    </w:p>
    <w:p w14:paraId="574E4570" w14:textId="5A7984E0" w:rsidR="00A549BF" w:rsidRPr="00F07170" w:rsidRDefault="00234CD4">
      <w:pPr>
        <w:rPr>
          <w:lang w:val="fr-CA"/>
        </w:rPr>
      </w:pPr>
      <w:r w:rsidRPr="00F07170">
        <w:rPr>
          <w:lang w:val="fr-CA"/>
        </w:rPr>
        <w:t>La boîte à outils « Faire con</w:t>
      </w:r>
      <w:r w:rsidR="00803F9A" w:rsidRPr="00F07170">
        <w:rPr>
          <w:lang w:val="fr-CA"/>
        </w:rPr>
        <w:t xml:space="preserve">fiance </w:t>
      </w:r>
      <w:r w:rsidRPr="00F07170">
        <w:rPr>
          <w:lang w:val="fr-CA"/>
        </w:rPr>
        <w:t xml:space="preserve">aux personnes en situation </w:t>
      </w:r>
      <w:r w:rsidR="00803F9A" w:rsidRPr="00F07170">
        <w:rPr>
          <w:lang w:val="fr-CA"/>
        </w:rPr>
        <w:t>de handicap</w:t>
      </w:r>
      <w:r w:rsidRPr="00F07170">
        <w:rPr>
          <w:lang w:val="fr-CA"/>
        </w:rPr>
        <w:t> »</w:t>
      </w:r>
      <w:r w:rsidR="00803F9A" w:rsidRPr="00F07170">
        <w:rPr>
          <w:lang w:val="fr-CA"/>
        </w:rPr>
        <w:t xml:space="preserve"> vise à responsabiliser et à éduquer les employeurs dans leur démarche </w:t>
      </w:r>
      <w:r w:rsidRPr="00F07170">
        <w:rPr>
          <w:lang w:val="fr-CA"/>
        </w:rPr>
        <w:t>alors qu’ils font la</w:t>
      </w:r>
      <w:r w:rsidR="00803F9A" w:rsidRPr="00F07170">
        <w:rPr>
          <w:lang w:val="fr-CA"/>
        </w:rPr>
        <w:t xml:space="preserve"> promotion de </w:t>
      </w:r>
      <w:r w:rsidRPr="00F07170">
        <w:rPr>
          <w:lang w:val="fr-CA"/>
        </w:rPr>
        <w:t>cette</w:t>
      </w:r>
      <w:r w:rsidR="00803F9A" w:rsidRPr="00F07170">
        <w:rPr>
          <w:lang w:val="fr-CA"/>
        </w:rPr>
        <w:t xml:space="preserve"> confiance au sein de leur organisation.</w:t>
      </w:r>
    </w:p>
    <w:p w14:paraId="31B422FB" w14:textId="48B7128A" w:rsidR="00803F9A" w:rsidRPr="00F07170" w:rsidRDefault="00234CD4">
      <w:pPr>
        <w:rPr>
          <w:rStyle w:val="Hyperlink"/>
          <w:lang w:val="fr-CA"/>
        </w:rPr>
      </w:pPr>
      <w:r w:rsidRPr="00F07170">
        <w:rPr>
          <w:rStyle w:val="Hyperlink"/>
          <w:lang w:val="fr-CA"/>
        </w:rPr>
        <w:fldChar w:fldCharType="begin"/>
      </w:r>
      <w:r w:rsidRPr="00F07170">
        <w:rPr>
          <w:rStyle w:val="Hyperlink"/>
          <w:lang w:val="fr-CA"/>
        </w:rPr>
        <w:instrText xml:space="preserve"> HYPERLINK "https://www.untappedtalent.ca/s/?language=fr" \t "_blank" </w:instrText>
      </w:r>
      <w:r w:rsidRPr="00F07170">
        <w:rPr>
          <w:rStyle w:val="Hyperlink"/>
          <w:lang w:val="fr-CA"/>
        </w:rPr>
      </w:r>
      <w:r w:rsidRPr="00F07170">
        <w:rPr>
          <w:rStyle w:val="Hyperlink"/>
          <w:lang w:val="fr-CA"/>
        </w:rPr>
        <w:fldChar w:fldCharType="separate"/>
      </w:r>
      <w:r w:rsidR="00803F9A" w:rsidRPr="00F07170">
        <w:rPr>
          <w:rStyle w:val="Hyperlink"/>
          <w:lang w:val="fr-CA"/>
        </w:rPr>
        <w:t>Talents in</w:t>
      </w:r>
      <w:r w:rsidRPr="00F07170">
        <w:rPr>
          <w:rStyle w:val="Hyperlink"/>
          <w:lang w:val="fr-CA"/>
        </w:rPr>
        <w:t>égalés</w:t>
      </w:r>
    </w:p>
    <w:p w14:paraId="71420C80" w14:textId="242DEFBD" w:rsidR="00803F9A" w:rsidRPr="00F07170" w:rsidRDefault="00234CD4">
      <w:pPr>
        <w:rPr>
          <w:lang w:val="fr-CA"/>
        </w:rPr>
      </w:pPr>
      <w:r w:rsidRPr="00F07170">
        <w:rPr>
          <w:rStyle w:val="Hyperlink"/>
          <w:lang w:val="fr-CA"/>
        </w:rPr>
        <w:fldChar w:fldCharType="end"/>
      </w:r>
      <w:r w:rsidR="00803F9A" w:rsidRPr="00F07170">
        <w:rPr>
          <w:rFonts w:ascii="Tahoma" w:hAnsi="Tahoma" w:cs="Tahoma"/>
        </w:rPr>
        <w:t>﻿</w:t>
      </w:r>
      <w:r w:rsidR="00D21083" w:rsidRPr="00F07170">
        <w:rPr>
          <w:lang w:val="fr-CA"/>
        </w:rPr>
        <w:t xml:space="preserve">Talents inégalés </w:t>
      </w:r>
      <w:r w:rsidR="00803F9A" w:rsidRPr="00F07170">
        <w:rPr>
          <w:lang w:val="fr-CA"/>
        </w:rPr>
        <w:t>est un site d</w:t>
      </w:r>
      <w:r w:rsidR="001407B6" w:rsidRPr="00F07170">
        <w:rPr>
          <w:lang w:val="fr-CA"/>
        </w:rPr>
        <w:t>’</w:t>
      </w:r>
      <w:r w:rsidR="00803F9A" w:rsidRPr="00F07170">
        <w:rPr>
          <w:lang w:val="fr-CA"/>
        </w:rPr>
        <w:t>offres d</w:t>
      </w:r>
      <w:r w:rsidR="001407B6" w:rsidRPr="00F07170">
        <w:rPr>
          <w:lang w:val="fr-CA"/>
        </w:rPr>
        <w:t>’</w:t>
      </w:r>
      <w:r w:rsidR="00803F9A" w:rsidRPr="00F07170">
        <w:rPr>
          <w:lang w:val="fr-CA"/>
        </w:rPr>
        <w:t xml:space="preserve">emploi en ligne qui met </w:t>
      </w:r>
      <w:r w:rsidR="00D21083" w:rsidRPr="00F07170">
        <w:rPr>
          <w:lang w:val="fr-CA"/>
        </w:rPr>
        <w:t>l</w:t>
      </w:r>
      <w:r w:rsidR="00803F9A" w:rsidRPr="00F07170">
        <w:rPr>
          <w:lang w:val="fr-CA"/>
        </w:rPr>
        <w:t xml:space="preserve">es </w:t>
      </w:r>
      <w:r w:rsidR="0070292C" w:rsidRPr="00F07170">
        <w:rPr>
          <w:lang w:val="fr-CA"/>
        </w:rPr>
        <w:t>demandeurs d’emploi en situation de handicap</w:t>
      </w:r>
      <w:r w:rsidR="00803F9A" w:rsidRPr="00F07170">
        <w:rPr>
          <w:lang w:val="fr-CA"/>
        </w:rPr>
        <w:t xml:space="preserve"> </w:t>
      </w:r>
      <w:r w:rsidR="00D21083" w:rsidRPr="00F07170">
        <w:rPr>
          <w:lang w:val="fr-CA"/>
        </w:rPr>
        <w:t xml:space="preserve">en relation </w:t>
      </w:r>
      <w:r w:rsidR="00803F9A" w:rsidRPr="00F07170">
        <w:rPr>
          <w:lang w:val="fr-CA"/>
        </w:rPr>
        <w:t>avec des offres d</w:t>
      </w:r>
      <w:r w:rsidR="001407B6" w:rsidRPr="00F07170">
        <w:rPr>
          <w:lang w:val="fr-CA"/>
        </w:rPr>
        <w:t>’</w:t>
      </w:r>
      <w:r w:rsidR="00803F9A" w:rsidRPr="00F07170">
        <w:rPr>
          <w:lang w:val="fr-CA"/>
        </w:rPr>
        <w:t xml:space="preserve">emploi intéressantes proposées par des employeurs du Canada qui font confiance aux </w:t>
      </w:r>
      <w:r w:rsidR="00150926" w:rsidRPr="00F07170">
        <w:rPr>
          <w:lang w:val="fr-CA"/>
        </w:rPr>
        <w:t>personnes en situation de handicap</w:t>
      </w:r>
      <w:r w:rsidR="00803F9A" w:rsidRPr="00F07170">
        <w:rPr>
          <w:lang w:val="fr-CA"/>
        </w:rPr>
        <w:t>.</w:t>
      </w:r>
    </w:p>
    <w:p w14:paraId="60079B4B" w14:textId="27AC0825" w:rsidR="008501D5" w:rsidRPr="00F07170" w:rsidRDefault="008501D5">
      <w:pPr>
        <w:rPr>
          <w:lang w:val="fr-CA"/>
        </w:rPr>
      </w:pPr>
      <w:r w:rsidRPr="00F07170">
        <w:rPr>
          <w:lang w:val="fr-CA"/>
        </w:rPr>
        <w:br w:type="page"/>
      </w:r>
    </w:p>
    <w:p w14:paraId="1659E1D3" w14:textId="06B0072D" w:rsidR="009E20CC" w:rsidRPr="00613BAD" w:rsidRDefault="008D29D3" w:rsidP="00C84B2E">
      <w:pPr>
        <w:pStyle w:val="Heading2"/>
      </w:pPr>
      <w:bookmarkStart w:id="13" w:name="_Toc191281438"/>
      <w:proofErr w:type="spellStart"/>
      <w:r w:rsidRPr="00F07170">
        <w:lastRenderedPageBreak/>
        <w:t>Références</w:t>
      </w:r>
      <w:bookmarkEnd w:id="13"/>
      <w:proofErr w:type="spellEnd"/>
    </w:p>
    <w:sectPr w:rsidR="009E20CC" w:rsidRPr="00613BA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22CEC" w14:textId="77777777" w:rsidR="00B769A3" w:rsidRDefault="00B769A3" w:rsidP="00036322">
      <w:pPr>
        <w:spacing w:after="0" w:line="240" w:lineRule="auto"/>
      </w:pPr>
      <w:r>
        <w:separator/>
      </w:r>
    </w:p>
  </w:endnote>
  <w:endnote w:type="continuationSeparator" w:id="0">
    <w:p w14:paraId="2692FAA6" w14:textId="77777777" w:rsidR="00B769A3" w:rsidRDefault="00B769A3" w:rsidP="00036322">
      <w:pPr>
        <w:spacing w:after="0" w:line="240" w:lineRule="auto"/>
      </w:pPr>
      <w:r>
        <w:continuationSeparator/>
      </w:r>
    </w:p>
  </w:endnote>
  <w:endnote w:type="continuationNotice" w:id="1">
    <w:p w14:paraId="5DB55A2A" w14:textId="77777777" w:rsidR="00B769A3" w:rsidRDefault="00B769A3">
      <w:pPr>
        <w:spacing w:after="0" w:line="240" w:lineRule="auto"/>
      </w:pPr>
    </w:p>
  </w:endnote>
  <w:endnote w:id="2">
    <w:p w14:paraId="15A26AE7" w14:textId="538540D1" w:rsidR="0072336E" w:rsidRPr="00C84B2E" w:rsidRDefault="0072336E">
      <w:pPr>
        <w:pStyle w:val="EndnoteText"/>
      </w:pPr>
      <w:r>
        <w:rPr>
          <w:rStyle w:val="EndnoteReference"/>
        </w:rPr>
        <w:endnoteRef/>
      </w:r>
      <w:r w:rsidRPr="001407B6">
        <w:rPr>
          <w:lang w:val="fr-CA"/>
        </w:rPr>
        <w:t xml:space="preserve"> Vu, V., Lamb, C. et Willoughby, R. (2019, décembre). </w:t>
      </w:r>
      <w:r w:rsidR="00D21083" w:rsidRPr="00D21083">
        <w:rPr>
          <w:i/>
          <w:lang w:val="en-CA"/>
        </w:rPr>
        <w:t>I, human: Digital and soft skills in a new economy</w:t>
      </w:r>
      <w:r w:rsidR="00D21083" w:rsidRPr="00D21083">
        <w:rPr>
          <w:lang w:val="en-CA"/>
        </w:rPr>
        <w:t>.</w:t>
      </w:r>
      <w:r w:rsidR="00D21083">
        <w:rPr>
          <w:lang w:val="en-CA"/>
        </w:rPr>
        <w:t xml:space="preserve"> </w:t>
      </w:r>
      <w:r w:rsidR="00D21083" w:rsidRPr="00D21083">
        <w:rPr>
          <w:lang w:val="en-CA"/>
        </w:rPr>
        <w:t xml:space="preserve"> </w:t>
      </w:r>
      <w:r w:rsidRPr="00D21083">
        <w:rPr>
          <w:i/>
          <w:iCs/>
          <w:lang w:val="en-CA"/>
        </w:rPr>
        <w:t xml:space="preserve"> </w:t>
      </w:r>
      <w:r w:rsidRPr="00C84B2E">
        <w:t xml:space="preserve">Brookfield Institute for Innovation + Entrepreneurship. </w:t>
      </w:r>
      <w:hyperlink r:id="rId1" w:history="1">
        <w:r w:rsidRPr="00642A07">
          <w:rPr>
            <w:rStyle w:val="Hyperlink"/>
          </w:rPr>
          <w:t>https://dais.ca/wp-content/uploads/2023/10/I-Human-ONLINE-FA-1.pdf</w:t>
        </w:r>
      </w:hyperlink>
    </w:p>
  </w:endnote>
  <w:endnote w:id="3">
    <w:p w14:paraId="5A286FBD" w14:textId="2028F190" w:rsidR="0072336E" w:rsidRPr="001407B6" w:rsidRDefault="0072336E">
      <w:pPr>
        <w:pStyle w:val="EndnoteText"/>
        <w:rPr>
          <w:lang w:val="fr-CA"/>
        </w:rPr>
      </w:pPr>
      <w:r>
        <w:rPr>
          <w:rStyle w:val="EndnoteReference"/>
        </w:rPr>
        <w:endnoteRef/>
      </w:r>
      <w:r w:rsidRPr="009642FA">
        <w:rPr>
          <w:lang w:val="es-ES"/>
        </w:rPr>
        <w:t xml:space="preserve"> Lindsay, S., Cagliostro, E., Albarico, M., Mortaji, N., &amp; Karon, L. (2018). </w:t>
      </w:r>
      <w:r w:rsidR="00D21083" w:rsidRPr="002D0A98">
        <w:t>A systematic review of the benefits of hiring people with disabilities.</w:t>
      </w:r>
      <w:r w:rsidRPr="00D21083">
        <w:rPr>
          <w:lang w:val="en-CA"/>
        </w:rPr>
        <w:t xml:space="preserve"> </w:t>
      </w:r>
      <w:r w:rsidRPr="001407B6">
        <w:rPr>
          <w:i/>
          <w:iCs/>
          <w:lang w:val="fr-CA"/>
        </w:rPr>
        <w:t>Journal of Occupational Rehabilitation, 28</w:t>
      </w:r>
      <w:r w:rsidRPr="001407B6">
        <w:rPr>
          <w:lang w:val="fr-CA"/>
        </w:rPr>
        <w:t xml:space="preserve">(4), 634-655. </w:t>
      </w:r>
      <w:hyperlink r:id="rId2" w:history="1">
        <w:r w:rsidRPr="001407B6">
          <w:rPr>
            <w:rStyle w:val="Hyperlink"/>
            <w:lang w:val="fr-CA"/>
          </w:rPr>
          <w:t>https://doi.org/10.1007/s10926-018-9756-z</w:t>
        </w:r>
      </w:hyperlink>
    </w:p>
  </w:endnote>
  <w:endnote w:id="4">
    <w:p w14:paraId="12518BBB" w14:textId="26CE9A97" w:rsidR="0072336E" w:rsidRPr="00D21083" w:rsidRDefault="0072336E">
      <w:pPr>
        <w:pStyle w:val="EndnoteText"/>
        <w:rPr>
          <w:lang w:val="fr-CA"/>
        </w:rPr>
      </w:pPr>
      <w:r>
        <w:rPr>
          <w:rStyle w:val="EndnoteReference"/>
        </w:rPr>
        <w:endnoteRef/>
      </w:r>
      <w:r w:rsidRPr="001407B6">
        <w:rPr>
          <w:lang w:val="fr-CA"/>
        </w:rPr>
        <w:t xml:space="preserve"> Conseil canadien de la réadaptation et du travail (2024</w:t>
      </w:r>
      <w:r w:rsidR="000A4230">
        <w:rPr>
          <w:lang w:val="fr-CA"/>
        </w:rPr>
        <w:t xml:space="preserve"> mai</w:t>
      </w:r>
      <w:r w:rsidRPr="001407B6">
        <w:rPr>
          <w:lang w:val="fr-CA"/>
        </w:rPr>
        <w:t xml:space="preserve">). </w:t>
      </w:r>
      <w:r w:rsidRPr="00D21083">
        <w:rPr>
          <w:i/>
          <w:iCs/>
          <w:lang w:val="fr-CA"/>
        </w:rPr>
        <w:t>Co</w:t>
      </w:r>
      <w:r w:rsidR="00D21083" w:rsidRPr="00D21083">
        <w:rPr>
          <w:i/>
          <w:iCs/>
          <w:lang w:val="fr-CA"/>
        </w:rPr>
        <w:t xml:space="preserve">mpétences pour réussir </w:t>
      </w:r>
      <w:r w:rsidR="00D21083">
        <w:rPr>
          <w:i/>
          <w:iCs/>
          <w:lang w:val="fr-CA"/>
        </w:rPr>
        <w:t>–</w:t>
      </w:r>
      <w:r w:rsidR="00D21083" w:rsidRPr="00D21083">
        <w:rPr>
          <w:i/>
          <w:iCs/>
          <w:lang w:val="fr-CA"/>
        </w:rPr>
        <w:t xml:space="preserve"> </w:t>
      </w:r>
      <w:r w:rsidR="00D21083">
        <w:rPr>
          <w:i/>
          <w:iCs/>
          <w:lang w:val="fr-CA"/>
        </w:rPr>
        <w:t>Guide d’accompagnement</w:t>
      </w:r>
      <w:r w:rsidRPr="00D21083">
        <w:rPr>
          <w:i/>
          <w:iCs/>
          <w:lang w:val="fr-CA"/>
        </w:rPr>
        <w:t xml:space="preserve">. </w:t>
      </w:r>
      <w:r w:rsidR="00D21083" w:rsidRPr="00D21083">
        <w:rPr>
          <w:rStyle w:val="Hyperlink"/>
          <w:lang w:val="fr-CA"/>
        </w:rPr>
        <w:t xml:space="preserve">https://ccrw.org/wp-content/uploads/2024/05/SFS-Playbook-Accessible_And_Branded_French.pdf </w:t>
      </w:r>
    </w:p>
  </w:endnote>
  <w:endnote w:id="5">
    <w:p w14:paraId="56F31DC2" w14:textId="0CB9FBBE" w:rsidR="0072336E" w:rsidRDefault="0072336E">
      <w:pPr>
        <w:pStyle w:val="EndnoteText"/>
      </w:pPr>
      <w:r>
        <w:rPr>
          <w:rStyle w:val="EndnoteReference"/>
        </w:rPr>
        <w:endnoteRef/>
      </w:r>
      <w:r w:rsidRPr="00381F84">
        <w:t xml:space="preserve"> Massachusetts Institute of Technology (n.d.). </w:t>
      </w:r>
      <w:r w:rsidRPr="00381F84">
        <w:rPr>
          <w:i/>
          <w:iCs/>
        </w:rPr>
        <w:t>Using the STAR method for your next behavioral interview (worksheet included)</w:t>
      </w:r>
      <w:hyperlink r:id="rId3" w:history="1">
        <w:r w:rsidR="00C5391F" w:rsidRPr="0055649E">
          <w:rPr>
            <w:rStyle w:val="Hyperlink"/>
          </w:rPr>
          <w:t>. https://capd.mit.edu/resources/the-star-method-for-behavioral-interviews/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1E087" w14:textId="77777777" w:rsidR="00B769A3" w:rsidRDefault="00B769A3" w:rsidP="00036322">
      <w:pPr>
        <w:spacing w:after="0" w:line="240" w:lineRule="auto"/>
      </w:pPr>
      <w:r>
        <w:separator/>
      </w:r>
    </w:p>
  </w:footnote>
  <w:footnote w:type="continuationSeparator" w:id="0">
    <w:p w14:paraId="2D8325BC" w14:textId="77777777" w:rsidR="00B769A3" w:rsidRDefault="00B769A3" w:rsidP="00036322">
      <w:pPr>
        <w:spacing w:after="0" w:line="240" w:lineRule="auto"/>
      </w:pPr>
      <w:r>
        <w:continuationSeparator/>
      </w:r>
    </w:p>
  </w:footnote>
  <w:footnote w:type="continuationNotice" w:id="1">
    <w:p w14:paraId="37B09C33" w14:textId="77777777" w:rsidR="00B769A3" w:rsidRDefault="00B769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1952"/>
    <w:multiLevelType w:val="hybridMultilevel"/>
    <w:tmpl w:val="133C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05B03"/>
    <w:multiLevelType w:val="hybridMultilevel"/>
    <w:tmpl w:val="ACC8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37F66"/>
    <w:multiLevelType w:val="hybridMultilevel"/>
    <w:tmpl w:val="80AA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56EA0"/>
    <w:multiLevelType w:val="hybridMultilevel"/>
    <w:tmpl w:val="861079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196D1A"/>
    <w:multiLevelType w:val="hybridMultilevel"/>
    <w:tmpl w:val="BD84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C1D9A"/>
    <w:multiLevelType w:val="hybridMultilevel"/>
    <w:tmpl w:val="E0CA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259C4"/>
    <w:multiLevelType w:val="hybridMultilevel"/>
    <w:tmpl w:val="3E6E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C1507"/>
    <w:multiLevelType w:val="hybridMultilevel"/>
    <w:tmpl w:val="B4E8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32E59"/>
    <w:multiLevelType w:val="hybridMultilevel"/>
    <w:tmpl w:val="AFE44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377FE"/>
    <w:multiLevelType w:val="hybridMultilevel"/>
    <w:tmpl w:val="4510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270E3"/>
    <w:multiLevelType w:val="hybridMultilevel"/>
    <w:tmpl w:val="514E7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47A80"/>
    <w:multiLevelType w:val="hybridMultilevel"/>
    <w:tmpl w:val="9022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5023F"/>
    <w:multiLevelType w:val="hybridMultilevel"/>
    <w:tmpl w:val="C352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4288B"/>
    <w:multiLevelType w:val="hybridMultilevel"/>
    <w:tmpl w:val="0EE8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86B77"/>
    <w:multiLevelType w:val="hybridMultilevel"/>
    <w:tmpl w:val="E5C8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809012">
    <w:abstractNumId w:val="3"/>
  </w:num>
  <w:num w:numId="2" w16cid:durableId="1522939047">
    <w:abstractNumId w:val="10"/>
  </w:num>
  <w:num w:numId="3" w16cid:durableId="529491467">
    <w:abstractNumId w:val="4"/>
  </w:num>
  <w:num w:numId="4" w16cid:durableId="152648117">
    <w:abstractNumId w:val="5"/>
  </w:num>
  <w:num w:numId="5" w16cid:durableId="1952931009">
    <w:abstractNumId w:val="8"/>
  </w:num>
  <w:num w:numId="6" w16cid:durableId="116293312">
    <w:abstractNumId w:val="6"/>
  </w:num>
  <w:num w:numId="7" w16cid:durableId="327486046">
    <w:abstractNumId w:val="9"/>
  </w:num>
  <w:num w:numId="8" w16cid:durableId="42950797">
    <w:abstractNumId w:val="11"/>
  </w:num>
  <w:num w:numId="9" w16cid:durableId="799146960">
    <w:abstractNumId w:val="1"/>
  </w:num>
  <w:num w:numId="10" w16cid:durableId="2108495697">
    <w:abstractNumId w:val="2"/>
  </w:num>
  <w:num w:numId="11" w16cid:durableId="2120104674">
    <w:abstractNumId w:val="13"/>
  </w:num>
  <w:num w:numId="12" w16cid:durableId="1031875571">
    <w:abstractNumId w:val="14"/>
  </w:num>
  <w:num w:numId="13" w16cid:durableId="21132961">
    <w:abstractNumId w:val="0"/>
  </w:num>
  <w:num w:numId="14" w16cid:durableId="2045130102">
    <w:abstractNumId w:val="12"/>
  </w:num>
  <w:num w:numId="15" w16cid:durableId="383409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922"/>
    <w:rsid w:val="00000CBF"/>
    <w:rsid w:val="00000EA3"/>
    <w:rsid w:val="000063D2"/>
    <w:rsid w:val="00012341"/>
    <w:rsid w:val="00015021"/>
    <w:rsid w:val="000200F9"/>
    <w:rsid w:val="00021575"/>
    <w:rsid w:val="000222A1"/>
    <w:rsid w:val="00023BFB"/>
    <w:rsid w:val="0002424A"/>
    <w:rsid w:val="000318DD"/>
    <w:rsid w:val="00032D5E"/>
    <w:rsid w:val="00036322"/>
    <w:rsid w:val="00036EC9"/>
    <w:rsid w:val="00044F89"/>
    <w:rsid w:val="000467DE"/>
    <w:rsid w:val="00054D80"/>
    <w:rsid w:val="00055BB4"/>
    <w:rsid w:val="00056059"/>
    <w:rsid w:val="000571AE"/>
    <w:rsid w:val="00060746"/>
    <w:rsid w:val="00061091"/>
    <w:rsid w:val="000632CA"/>
    <w:rsid w:val="00063436"/>
    <w:rsid w:val="00066AA1"/>
    <w:rsid w:val="00075625"/>
    <w:rsid w:val="0007593D"/>
    <w:rsid w:val="00082E3F"/>
    <w:rsid w:val="00082FD0"/>
    <w:rsid w:val="000836BC"/>
    <w:rsid w:val="00083ADC"/>
    <w:rsid w:val="0008457D"/>
    <w:rsid w:val="000848C2"/>
    <w:rsid w:val="000854EE"/>
    <w:rsid w:val="000901FC"/>
    <w:rsid w:val="0009491F"/>
    <w:rsid w:val="00094B60"/>
    <w:rsid w:val="00095239"/>
    <w:rsid w:val="000A4230"/>
    <w:rsid w:val="000A4CC0"/>
    <w:rsid w:val="000A6434"/>
    <w:rsid w:val="000B2524"/>
    <w:rsid w:val="000B2855"/>
    <w:rsid w:val="000B627D"/>
    <w:rsid w:val="000B68EC"/>
    <w:rsid w:val="000B7FB3"/>
    <w:rsid w:val="000C5398"/>
    <w:rsid w:val="000C619B"/>
    <w:rsid w:val="000D2A51"/>
    <w:rsid w:val="000D3B10"/>
    <w:rsid w:val="000D3EA6"/>
    <w:rsid w:val="000D47ED"/>
    <w:rsid w:val="000E1BD9"/>
    <w:rsid w:val="000E47D7"/>
    <w:rsid w:val="000E4F36"/>
    <w:rsid w:val="000E5758"/>
    <w:rsid w:val="000E596A"/>
    <w:rsid w:val="000F0C8A"/>
    <w:rsid w:val="000F3481"/>
    <w:rsid w:val="000F4E5B"/>
    <w:rsid w:val="000F7727"/>
    <w:rsid w:val="00100279"/>
    <w:rsid w:val="001007F7"/>
    <w:rsid w:val="00101DDD"/>
    <w:rsid w:val="00102312"/>
    <w:rsid w:val="00104887"/>
    <w:rsid w:val="00104A2F"/>
    <w:rsid w:val="0010623E"/>
    <w:rsid w:val="00106387"/>
    <w:rsid w:val="001119A5"/>
    <w:rsid w:val="0011204F"/>
    <w:rsid w:val="00115345"/>
    <w:rsid w:val="00115E51"/>
    <w:rsid w:val="001168D9"/>
    <w:rsid w:val="00123833"/>
    <w:rsid w:val="001248D2"/>
    <w:rsid w:val="00124D54"/>
    <w:rsid w:val="0012609B"/>
    <w:rsid w:val="001267AE"/>
    <w:rsid w:val="0013040A"/>
    <w:rsid w:val="00130E8A"/>
    <w:rsid w:val="00131B5E"/>
    <w:rsid w:val="0013251E"/>
    <w:rsid w:val="00133D21"/>
    <w:rsid w:val="001343AE"/>
    <w:rsid w:val="001407B6"/>
    <w:rsid w:val="00143A87"/>
    <w:rsid w:val="001448DC"/>
    <w:rsid w:val="00145C0D"/>
    <w:rsid w:val="00150060"/>
    <w:rsid w:val="00150926"/>
    <w:rsid w:val="001526CB"/>
    <w:rsid w:val="00152B5E"/>
    <w:rsid w:val="001535D1"/>
    <w:rsid w:val="00154C71"/>
    <w:rsid w:val="00155834"/>
    <w:rsid w:val="0015662A"/>
    <w:rsid w:val="001653D6"/>
    <w:rsid w:val="00165481"/>
    <w:rsid w:val="00167794"/>
    <w:rsid w:val="00173791"/>
    <w:rsid w:val="00173812"/>
    <w:rsid w:val="00174261"/>
    <w:rsid w:val="00175897"/>
    <w:rsid w:val="00175F60"/>
    <w:rsid w:val="00175FA0"/>
    <w:rsid w:val="001768F6"/>
    <w:rsid w:val="001775D5"/>
    <w:rsid w:val="00180625"/>
    <w:rsid w:val="00180C98"/>
    <w:rsid w:val="001817FC"/>
    <w:rsid w:val="00186665"/>
    <w:rsid w:val="001867F9"/>
    <w:rsid w:val="00187017"/>
    <w:rsid w:val="0019355D"/>
    <w:rsid w:val="0019460E"/>
    <w:rsid w:val="00197E46"/>
    <w:rsid w:val="001A300D"/>
    <w:rsid w:val="001A40EF"/>
    <w:rsid w:val="001A5D13"/>
    <w:rsid w:val="001A665A"/>
    <w:rsid w:val="001A73E2"/>
    <w:rsid w:val="001A7415"/>
    <w:rsid w:val="001A7F04"/>
    <w:rsid w:val="001B5908"/>
    <w:rsid w:val="001C03B0"/>
    <w:rsid w:val="001C184F"/>
    <w:rsid w:val="001C7B55"/>
    <w:rsid w:val="001D0303"/>
    <w:rsid w:val="001D10B7"/>
    <w:rsid w:val="001D6567"/>
    <w:rsid w:val="001D72F8"/>
    <w:rsid w:val="001D7E6F"/>
    <w:rsid w:val="001E0373"/>
    <w:rsid w:val="001E4AE4"/>
    <w:rsid w:val="001E756C"/>
    <w:rsid w:val="001F1AC2"/>
    <w:rsid w:val="001F1C7D"/>
    <w:rsid w:val="001F26CF"/>
    <w:rsid w:val="001F425E"/>
    <w:rsid w:val="00201A7D"/>
    <w:rsid w:val="0020591B"/>
    <w:rsid w:val="002072D7"/>
    <w:rsid w:val="002102AA"/>
    <w:rsid w:val="00210EA9"/>
    <w:rsid w:val="00211217"/>
    <w:rsid w:val="002119F9"/>
    <w:rsid w:val="00211EEE"/>
    <w:rsid w:val="00215234"/>
    <w:rsid w:val="0021776D"/>
    <w:rsid w:val="00220237"/>
    <w:rsid w:val="002206B9"/>
    <w:rsid w:val="00221038"/>
    <w:rsid w:val="00221253"/>
    <w:rsid w:val="002227A9"/>
    <w:rsid w:val="00225BC9"/>
    <w:rsid w:val="00230107"/>
    <w:rsid w:val="00231BF1"/>
    <w:rsid w:val="00233D8E"/>
    <w:rsid w:val="00234608"/>
    <w:rsid w:val="00234CD4"/>
    <w:rsid w:val="00241520"/>
    <w:rsid w:val="002417DD"/>
    <w:rsid w:val="0024363D"/>
    <w:rsid w:val="002445E7"/>
    <w:rsid w:val="0024602F"/>
    <w:rsid w:val="00247078"/>
    <w:rsid w:val="00247DD1"/>
    <w:rsid w:val="00250FA9"/>
    <w:rsid w:val="00251F79"/>
    <w:rsid w:val="002521CE"/>
    <w:rsid w:val="002527DD"/>
    <w:rsid w:val="002527FC"/>
    <w:rsid w:val="00256ABD"/>
    <w:rsid w:val="0025752F"/>
    <w:rsid w:val="002603FF"/>
    <w:rsid w:val="00260E09"/>
    <w:rsid w:val="002626E0"/>
    <w:rsid w:val="002629A1"/>
    <w:rsid w:val="00264B15"/>
    <w:rsid w:val="00266796"/>
    <w:rsid w:val="00271B50"/>
    <w:rsid w:val="002749CD"/>
    <w:rsid w:val="00277D8C"/>
    <w:rsid w:val="0028320F"/>
    <w:rsid w:val="00290829"/>
    <w:rsid w:val="00290ED3"/>
    <w:rsid w:val="0029548A"/>
    <w:rsid w:val="00296DC6"/>
    <w:rsid w:val="00297800"/>
    <w:rsid w:val="00297EEE"/>
    <w:rsid w:val="002A035C"/>
    <w:rsid w:val="002A11E6"/>
    <w:rsid w:val="002A4853"/>
    <w:rsid w:val="002A7006"/>
    <w:rsid w:val="002B28DD"/>
    <w:rsid w:val="002B4F2B"/>
    <w:rsid w:val="002B6977"/>
    <w:rsid w:val="002C017F"/>
    <w:rsid w:val="002C0D70"/>
    <w:rsid w:val="002C2F76"/>
    <w:rsid w:val="002C3281"/>
    <w:rsid w:val="002C3C7A"/>
    <w:rsid w:val="002C4AD4"/>
    <w:rsid w:val="002C53D8"/>
    <w:rsid w:val="002C61CE"/>
    <w:rsid w:val="002D0A98"/>
    <w:rsid w:val="002D0BC5"/>
    <w:rsid w:val="002D3EA2"/>
    <w:rsid w:val="002D488F"/>
    <w:rsid w:val="002D6F93"/>
    <w:rsid w:val="002E41CA"/>
    <w:rsid w:val="002E446C"/>
    <w:rsid w:val="002E72A7"/>
    <w:rsid w:val="002F0865"/>
    <w:rsid w:val="002F0BCB"/>
    <w:rsid w:val="002F67F9"/>
    <w:rsid w:val="002F7340"/>
    <w:rsid w:val="002F766D"/>
    <w:rsid w:val="00301AD1"/>
    <w:rsid w:val="00310001"/>
    <w:rsid w:val="00310C2B"/>
    <w:rsid w:val="00311B8B"/>
    <w:rsid w:val="00312BAD"/>
    <w:rsid w:val="00315B95"/>
    <w:rsid w:val="0031650D"/>
    <w:rsid w:val="00317A1D"/>
    <w:rsid w:val="003240D6"/>
    <w:rsid w:val="00330F23"/>
    <w:rsid w:val="00331E10"/>
    <w:rsid w:val="00335ADF"/>
    <w:rsid w:val="00337D76"/>
    <w:rsid w:val="0034126F"/>
    <w:rsid w:val="00341769"/>
    <w:rsid w:val="00345E47"/>
    <w:rsid w:val="00347086"/>
    <w:rsid w:val="00347285"/>
    <w:rsid w:val="00350FE1"/>
    <w:rsid w:val="003603A3"/>
    <w:rsid w:val="00363AA6"/>
    <w:rsid w:val="00364178"/>
    <w:rsid w:val="003653E9"/>
    <w:rsid w:val="00365565"/>
    <w:rsid w:val="00367596"/>
    <w:rsid w:val="0036764B"/>
    <w:rsid w:val="003807D4"/>
    <w:rsid w:val="003807F3"/>
    <w:rsid w:val="00381F84"/>
    <w:rsid w:val="0038202C"/>
    <w:rsid w:val="0038259B"/>
    <w:rsid w:val="00383CAD"/>
    <w:rsid w:val="00383FD2"/>
    <w:rsid w:val="00385574"/>
    <w:rsid w:val="00391BBE"/>
    <w:rsid w:val="0039340B"/>
    <w:rsid w:val="003A0C8B"/>
    <w:rsid w:val="003A15ED"/>
    <w:rsid w:val="003A323A"/>
    <w:rsid w:val="003A4A35"/>
    <w:rsid w:val="003A4C45"/>
    <w:rsid w:val="003B1367"/>
    <w:rsid w:val="003B5157"/>
    <w:rsid w:val="003D1793"/>
    <w:rsid w:val="003D1E16"/>
    <w:rsid w:val="003D2BD6"/>
    <w:rsid w:val="003D41C4"/>
    <w:rsid w:val="003D7C25"/>
    <w:rsid w:val="003E02EF"/>
    <w:rsid w:val="003E124E"/>
    <w:rsid w:val="003E4C44"/>
    <w:rsid w:val="003E6BC4"/>
    <w:rsid w:val="003E7632"/>
    <w:rsid w:val="003F0C03"/>
    <w:rsid w:val="003F1877"/>
    <w:rsid w:val="003F1DBC"/>
    <w:rsid w:val="003F1E87"/>
    <w:rsid w:val="003F4494"/>
    <w:rsid w:val="004012A3"/>
    <w:rsid w:val="00402FC3"/>
    <w:rsid w:val="004057A0"/>
    <w:rsid w:val="0041028C"/>
    <w:rsid w:val="00411D75"/>
    <w:rsid w:val="00413B02"/>
    <w:rsid w:val="004150C8"/>
    <w:rsid w:val="00416DC3"/>
    <w:rsid w:val="00417B6C"/>
    <w:rsid w:val="00421B9F"/>
    <w:rsid w:val="004228B2"/>
    <w:rsid w:val="00423552"/>
    <w:rsid w:val="004310A8"/>
    <w:rsid w:val="004323AC"/>
    <w:rsid w:val="004343D4"/>
    <w:rsid w:val="00437AD7"/>
    <w:rsid w:val="0044050B"/>
    <w:rsid w:val="00441833"/>
    <w:rsid w:val="004424AD"/>
    <w:rsid w:val="00445363"/>
    <w:rsid w:val="0044DDC7"/>
    <w:rsid w:val="00460445"/>
    <w:rsid w:val="0046289E"/>
    <w:rsid w:val="00463716"/>
    <w:rsid w:val="00463F09"/>
    <w:rsid w:val="0046501B"/>
    <w:rsid w:val="00466F30"/>
    <w:rsid w:val="00467490"/>
    <w:rsid w:val="004722B5"/>
    <w:rsid w:val="00475F94"/>
    <w:rsid w:val="0048259F"/>
    <w:rsid w:val="00485BB9"/>
    <w:rsid w:val="004924E6"/>
    <w:rsid w:val="0049359E"/>
    <w:rsid w:val="00493875"/>
    <w:rsid w:val="00494830"/>
    <w:rsid w:val="004A1C19"/>
    <w:rsid w:val="004A3656"/>
    <w:rsid w:val="004B422E"/>
    <w:rsid w:val="004C157A"/>
    <w:rsid w:val="004C47C0"/>
    <w:rsid w:val="004C4BF2"/>
    <w:rsid w:val="004C5CF6"/>
    <w:rsid w:val="004D2D59"/>
    <w:rsid w:val="004D6602"/>
    <w:rsid w:val="004D7FD7"/>
    <w:rsid w:val="004E1109"/>
    <w:rsid w:val="004E2A7C"/>
    <w:rsid w:val="004E3608"/>
    <w:rsid w:val="004E4291"/>
    <w:rsid w:val="004E6569"/>
    <w:rsid w:val="004F2A96"/>
    <w:rsid w:val="004F759A"/>
    <w:rsid w:val="004F7ACC"/>
    <w:rsid w:val="005047F6"/>
    <w:rsid w:val="00505111"/>
    <w:rsid w:val="005052D1"/>
    <w:rsid w:val="00511922"/>
    <w:rsid w:val="00514179"/>
    <w:rsid w:val="0051538F"/>
    <w:rsid w:val="00517AE8"/>
    <w:rsid w:val="00521869"/>
    <w:rsid w:val="00521A8F"/>
    <w:rsid w:val="0052316A"/>
    <w:rsid w:val="00525BE3"/>
    <w:rsid w:val="00526B39"/>
    <w:rsid w:val="00530E9A"/>
    <w:rsid w:val="00541370"/>
    <w:rsid w:val="00550DFD"/>
    <w:rsid w:val="005527E9"/>
    <w:rsid w:val="00553967"/>
    <w:rsid w:val="0055538D"/>
    <w:rsid w:val="005557AA"/>
    <w:rsid w:val="005569E1"/>
    <w:rsid w:val="00567BA5"/>
    <w:rsid w:val="00570768"/>
    <w:rsid w:val="0057106B"/>
    <w:rsid w:val="00576421"/>
    <w:rsid w:val="00576C5E"/>
    <w:rsid w:val="00581445"/>
    <w:rsid w:val="005836D3"/>
    <w:rsid w:val="0058785A"/>
    <w:rsid w:val="00587EB9"/>
    <w:rsid w:val="00591383"/>
    <w:rsid w:val="005915CC"/>
    <w:rsid w:val="005922D4"/>
    <w:rsid w:val="0059310D"/>
    <w:rsid w:val="00593178"/>
    <w:rsid w:val="0059530D"/>
    <w:rsid w:val="005A0554"/>
    <w:rsid w:val="005A077E"/>
    <w:rsid w:val="005A3488"/>
    <w:rsid w:val="005A3C26"/>
    <w:rsid w:val="005B2733"/>
    <w:rsid w:val="005B3B8B"/>
    <w:rsid w:val="005B7907"/>
    <w:rsid w:val="005C0C82"/>
    <w:rsid w:val="005C2E4F"/>
    <w:rsid w:val="005C7D23"/>
    <w:rsid w:val="005D2842"/>
    <w:rsid w:val="005D4E33"/>
    <w:rsid w:val="005D65D3"/>
    <w:rsid w:val="005D79C9"/>
    <w:rsid w:val="005E155E"/>
    <w:rsid w:val="005E19C5"/>
    <w:rsid w:val="005E3B7B"/>
    <w:rsid w:val="005E69FD"/>
    <w:rsid w:val="005F0439"/>
    <w:rsid w:val="005F0E5C"/>
    <w:rsid w:val="00601052"/>
    <w:rsid w:val="00601271"/>
    <w:rsid w:val="00601B55"/>
    <w:rsid w:val="00603191"/>
    <w:rsid w:val="00605182"/>
    <w:rsid w:val="0061029B"/>
    <w:rsid w:val="0061061C"/>
    <w:rsid w:val="0061173F"/>
    <w:rsid w:val="00613BAD"/>
    <w:rsid w:val="0061552F"/>
    <w:rsid w:val="00617027"/>
    <w:rsid w:val="00617E8B"/>
    <w:rsid w:val="006229CF"/>
    <w:rsid w:val="00622B91"/>
    <w:rsid w:val="006234A7"/>
    <w:rsid w:val="0062383B"/>
    <w:rsid w:val="0062411E"/>
    <w:rsid w:val="00625072"/>
    <w:rsid w:val="00627EBB"/>
    <w:rsid w:val="00631002"/>
    <w:rsid w:val="00632A3F"/>
    <w:rsid w:val="00633BF0"/>
    <w:rsid w:val="00635A75"/>
    <w:rsid w:val="006360A4"/>
    <w:rsid w:val="00640E95"/>
    <w:rsid w:val="006438CF"/>
    <w:rsid w:val="0064479D"/>
    <w:rsid w:val="00652B2E"/>
    <w:rsid w:val="00655B5A"/>
    <w:rsid w:val="00656283"/>
    <w:rsid w:val="006664CD"/>
    <w:rsid w:val="00675B18"/>
    <w:rsid w:val="00676D32"/>
    <w:rsid w:val="00677296"/>
    <w:rsid w:val="006867A5"/>
    <w:rsid w:val="00687B6E"/>
    <w:rsid w:val="00691C13"/>
    <w:rsid w:val="006929F2"/>
    <w:rsid w:val="0069419F"/>
    <w:rsid w:val="00697289"/>
    <w:rsid w:val="006A14F3"/>
    <w:rsid w:val="006A3632"/>
    <w:rsid w:val="006A51C1"/>
    <w:rsid w:val="006A5E9A"/>
    <w:rsid w:val="006B052B"/>
    <w:rsid w:val="006B248D"/>
    <w:rsid w:val="006B2C72"/>
    <w:rsid w:val="006B3D83"/>
    <w:rsid w:val="006B4F08"/>
    <w:rsid w:val="006B5136"/>
    <w:rsid w:val="006B6B2F"/>
    <w:rsid w:val="006C0933"/>
    <w:rsid w:val="006C1C61"/>
    <w:rsid w:val="006C6044"/>
    <w:rsid w:val="006D0730"/>
    <w:rsid w:val="006D2E51"/>
    <w:rsid w:val="006D39D2"/>
    <w:rsid w:val="006D3C11"/>
    <w:rsid w:val="006D3E5B"/>
    <w:rsid w:val="006D3F35"/>
    <w:rsid w:val="006D50C6"/>
    <w:rsid w:val="006E1C1F"/>
    <w:rsid w:val="006E2E75"/>
    <w:rsid w:val="006E3C92"/>
    <w:rsid w:val="006E5906"/>
    <w:rsid w:val="006E6017"/>
    <w:rsid w:val="006E77A1"/>
    <w:rsid w:val="006E79D1"/>
    <w:rsid w:val="0070292C"/>
    <w:rsid w:val="00710090"/>
    <w:rsid w:val="00711FAB"/>
    <w:rsid w:val="007120D3"/>
    <w:rsid w:val="00715F01"/>
    <w:rsid w:val="00717F2E"/>
    <w:rsid w:val="00720E8C"/>
    <w:rsid w:val="00721881"/>
    <w:rsid w:val="007227CF"/>
    <w:rsid w:val="0072336E"/>
    <w:rsid w:val="00727A86"/>
    <w:rsid w:val="007312D1"/>
    <w:rsid w:val="00731C5C"/>
    <w:rsid w:val="00732AB5"/>
    <w:rsid w:val="00746B11"/>
    <w:rsid w:val="00752332"/>
    <w:rsid w:val="007554C5"/>
    <w:rsid w:val="00757DF7"/>
    <w:rsid w:val="0077079C"/>
    <w:rsid w:val="00770BBB"/>
    <w:rsid w:val="00770E5D"/>
    <w:rsid w:val="00771CA0"/>
    <w:rsid w:val="0077277E"/>
    <w:rsid w:val="0077328F"/>
    <w:rsid w:val="00777ADF"/>
    <w:rsid w:val="00777C60"/>
    <w:rsid w:val="00785A65"/>
    <w:rsid w:val="0079152D"/>
    <w:rsid w:val="00791700"/>
    <w:rsid w:val="00795203"/>
    <w:rsid w:val="00795DAA"/>
    <w:rsid w:val="007979BF"/>
    <w:rsid w:val="007A2917"/>
    <w:rsid w:val="007A2C24"/>
    <w:rsid w:val="007A42C6"/>
    <w:rsid w:val="007A434C"/>
    <w:rsid w:val="007A5043"/>
    <w:rsid w:val="007A5C70"/>
    <w:rsid w:val="007B00D9"/>
    <w:rsid w:val="007B07B7"/>
    <w:rsid w:val="007B4CB3"/>
    <w:rsid w:val="007B531E"/>
    <w:rsid w:val="007B7C83"/>
    <w:rsid w:val="007C010F"/>
    <w:rsid w:val="007C311A"/>
    <w:rsid w:val="007C6A17"/>
    <w:rsid w:val="007C740D"/>
    <w:rsid w:val="007D14ED"/>
    <w:rsid w:val="007D20B4"/>
    <w:rsid w:val="007D20F1"/>
    <w:rsid w:val="007D4BB3"/>
    <w:rsid w:val="007D51CC"/>
    <w:rsid w:val="007D558D"/>
    <w:rsid w:val="007E262B"/>
    <w:rsid w:val="007E44C4"/>
    <w:rsid w:val="007E74AC"/>
    <w:rsid w:val="007F6311"/>
    <w:rsid w:val="00800395"/>
    <w:rsid w:val="0080198E"/>
    <w:rsid w:val="00801F02"/>
    <w:rsid w:val="00802C13"/>
    <w:rsid w:val="00803F9A"/>
    <w:rsid w:val="00804A79"/>
    <w:rsid w:val="00804A8A"/>
    <w:rsid w:val="0081102B"/>
    <w:rsid w:val="008170D6"/>
    <w:rsid w:val="0081798B"/>
    <w:rsid w:val="00823A33"/>
    <w:rsid w:val="00831C2B"/>
    <w:rsid w:val="008405CC"/>
    <w:rsid w:val="00843626"/>
    <w:rsid w:val="00844130"/>
    <w:rsid w:val="00845FFF"/>
    <w:rsid w:val="008501D5"/>
    <w:rsid w:val="0085085F"/>
    <w:rsid w:val="00851D15"/>
    <w:rsid w:val="008531E9"/>
    <w:rsid w:val="00855C84"/>
    <w:rsid w:val="00863209"/>
    <w:rsid w:val="008673A6"/>
    <w:rsid w:val="00870DAD"/>
    <w:rsid w:val="0087283A"/>
    <w:rsid w:val="008734EE"/>
    <w:rsid w:val="00873A64"/>
    <w:rsid w:val="00880349"/>
    <w:rsid w:val="008813A8"/>
    <w:rsid w:val="008829A0"/>
    <w:rsid w:val="00894360"/>
    <w:rsid w:val="00895186"/>
    <w:rsid w:val="00895F5D"/>
    <w:rsid w:val="008966A1"/>
    <w:rsid w:val="00896985"/>
    <w:rsid w:val="00897DFF"/>
    <w:rsid w:val="008A53C4"/>
    <w:rsid w:val="008A7A93"/>
    <w:rsid w:val="008B00DC"/>
    <w:rsid w:val="008B14AA"/>
    <w:rsid w:val="008B2E20"/>
    <w:rsid w:val="008C14EC"/>
    <w:rsid w:val="008C1670"/>
    <w:rsid w:val="008C18FB"/>
    <w:rsid w:val="008C1C9F"/>
    <w:rsid w:val="008C29E2"/>
    <w:rsid w:val="008C45DB"/>
    <w:rsid w:val="008C5702"/>
    <w:rsid w:val="008C61C2"/>
    <w:rsid w:val="008C72D3"/>
    <w:rsid w:val="008D00FC"/>
    <w:rsid w:val="008D240B"/>
    <w:rsid w:val="008D28D4"/>
    <w:rsid w:val="008D29D3"/>
    <w:rsid w:val="008D368A"/>
    <w:rsid w:val="008E0969"/>
    <w:rsid w:val="008E0A96"/>
    <w:rsid w:val="008E1DA8"/>
    <w:rsid w:val="008E1F97"/>
    <w:rsid w:val="008E37B6"/>
    <w:rsid w:val="008F0560"/>
    <w:rsid w:val="008F07CF"/>
    <w:rsid w:val="008F1554"/>
    <w:rsid w:val="008F18BE"/>
    <w:rsid w:val="008F1DDA"/>
    <w:rsid w:val="008F3161"/>
    <w:rsid w:val="008F33F7"/>
    <w:rsid w:val="009009DA"/>
    <w:rsid w:val="009035A7"/>
    <w:rsid w:val="00904AD8"/>
    <w:rsid w:val="00907BFE"/>
    <w:rsid w:val="00907C3D"/>
    <w:rsid w:val="0091267B"/>
    <w:rsid w:val="00920685"/>
    <w:rsid w:val="0092331E"/>
    <w:rsid w:val="0092612E"/>
    <w:rsid w:val="00933091"/>
    <w:rsid w:val="00936739"/>
    <w:rsid w:val="00940D2B"/>
    <w:rsid w:val="00941608"/>
    <w:rsid w:val="00942805"/>
    <w:rsid w:val="00942CF9"/>
    <w:rsid w:val="00947388"/>
    <w:rsid w:val="00950CDA"/>
    <w:rsid w:val="009534BE"/>
    <w:rsid w:val="00953EA2"/>
    <w:rsid w:val="00957A98"/>
    <w:rsid w:val="009642FA"/>
    <w:rsid w:val="00970624"/>
    <w:rsid w:val="00972B09"/>
    <w:rsid w:val="009766DF"/>
    <w:rsid w:val="00976CF4"/>
    <w:rsid w:val="00984C9F"/>
    <w:rsid w:val="00984F86"/>
    <w:rsid w:val="00990BD7"/>
    <w:rsid w:val="0099336A"/>
    <w:rsid w:val="00995125"/>
    <w:rsid w:val="00997E98"/>
    <w:rsid w:val="009A06E8"/>
    <w:rsid w:val="009A47A2"/>
    <w:rsid w:val="009A4FBC"/>
    <w:rsid w:val="009A58D2"/>
    <w:rsid w:val="009A7924"/>
    <w:rsid w:val="009B14E2"/>
    <w:rsid w:val="009B23A3"/>
    <w:rsid w:val="009B27A0"/>
    <w:rsid w:val="009B2EA2"/>
    <w:rsid w:val="009B56FA"/>
    <w:rsid w:val="009C0623"/>
    <w:rsid w:val="009C48F0"/>
    <w:rsid w:val="009D0445"/>
    <w:rsid w:val="009D24A0"/>
    <w:rsid w:val="009D681B"/>
    <w:rsid w:val="009D6C80"/>
    <w:rsid w:val="009D723E"/>
    <w:rsid w:val="009D78C0"/>
    <w:rsid w:val="009E20CC"/>
    <w:rsid w:val="009E3B1D"/>
    <w:rsid w:val="009E4748"/>
    <w:rsid w:val="009E5DB6"/>
    <w:rsid w:val="009F04A3"/>
    <w:rsid w:val="009F2470"/>
    <w:rsid w:val="009F2DB5"/>
    <w:rsid w:val="009F34FE"/>
    <w:rsid w:val="009F4A57"/>
    <w:rsid w:val="009F7F33"/>
    <w:rsid w:val="00A03660"/>
    <w:rsid w:val="00A03F16"/>
    <w:rsid w:val="00A04723"/>
    <w:rsid w:val="00A06BE6"/>
    <w:rsid w:val="00A20031"/>
    <w:rsid w:val="00A33B63"/>
    <w:rsid w:val="00A34198"/>
    <w:rsid w:val="00A34D5E"/>
    <w:rsid w:val="00A41A9B"/>
    <w:rsid w:val="00A42290"/>
    <w:rsid w:val="00A43203"/>
    <w:rsid w:val="00A432F5"/>
    <w:rsid w:val="00A451BC"/>
    <w:rsid w:val="00A50236"/>
    <w:rsid w:val="00A529A7"/>
    <w:rsid w:val="00A535F2"/>
    <w:rsid w:val="00A54096"/>
    <w:rsid w:val="00A549BF"/>
    <w:rsid w:val="00A557AA"/>
    <w:rsid w:val="00A5642D"/>
    <w:rsid w:val="00A57017"/>
    <w:rsid w:val="00A63C27"/>
    <w:rsid w:val="00A63E22"/>
    <w:rsid w:val="00A66575"/>
    <w:rsid w:val="00A703A6"/>
    <w:rsid w:val="00A72838"/>
    <w:rsid w:val="00A74C53"/>
    <w:rsid w:val="00A768D8"/>
    <w:rsid w:val="00A76D12"/>
    <w:rsid w:val="00A801A0"/>
    <w:rsid w:val="00A81510"/>
    <w:rsid w:val="00A819CE"/>
    <w:rsid w:val="00A829E8"/>
    <w:rsid w:val="00A8383A"/>
    <w:rsid w:val="00A867A6"/>
    <w:rsid w:val="00A9296F"/>
    <w:rsid w:val="00A92E92"/>
    <w:rsid w:val="00A9785A"/>
    <w:rsid w:val="00A97BDA"/>
    <w:rsid w:val="00AA09BE"/>
    <w:rsid w:val="00AA122A"/>
    <w:rsid w:val="00AA1F08"/>
    <w:rsid w:val="00AA2CFD"/>
    <w:rsid w:val="00AB5D0C"/>
    <w:rsid w:val="00AC125D"/>
    <w:rsid w:val="00AC4204"/>
    <w:rsid w:val="00AC5375"/>
    <w:rsid w:val="00AC7F46"/>
    <w:rsid w:val="00AD0A40"/>
    <w:rsid w:val="00AD1D17"/>
    <w:rsid w:val="00AD3E50"/>
    <w:rsid w:val="00AD5635"/>
    <w:rsid w:val="00AE2BA5"/>
    <w:rsid w:val="00AE2DED"/>
    <w:rsid w:val="00AE4B1C"/>
    <w:rsid w:val="00AE7401"/>
    <w:rsid w:val="00AF0A79"/>
    <w:rsid w:val="00AF3565"/>
    <w:rsid w:val="00AF359D"/>
    <w:rsid w:val="00AF360B"/>
    <w:rsid w:val="00AF49F5"/>
    <w:rsid w:val="00AF4F1F"/>
    <w:rsid w:val="00AF59AF"/>
    <w:rsid w:val="00AF7C04"/>
    <w:rsid w:val="00B05CDB"/>
    <w:rsid w:val="00B068DF"/>
    <w:rsid w:val="00B108A1"/>
    <w:rsid w:val="00B114FC"/>
    <w:rsid w:val="00B1541F"/>
    <w:rsid w:val="00B15849"/>
    <w:rsid w:val="00B15A62"/>
    <w:rsid w:val="00B16E50"/>
    <w:rsid w:val="00B17945"/>
    <w:rsid w:val="00B179ED"/>
    <w:rsid w:val="00B3517A"/>
    <w:rsid w:val="00B35E0A"/>
    <w:rsid w:val="00B36001"/>
    <w:rsid w:val="00B45494"/>
    <w:rsid w:val="00B51F4F"/>
    <w:rsid w:val="00B534F7"/>
    <w:rsid w:val="00B55C0A"/>
    <w:rsid w:val="00B60493"/>
    <w:rsid w:val="00B67523"/>
    <w:rsid w:val="00B71204"/>
    <w:rsid w:val="00B739EE"/>
    <w:rsid w:val="00B761E3"/>
    <w:rsid w:val="00B7623B"/>
    <w:rsid w:val="00B769A3"/>
    <w:rsid w:val="00B803B1"/>
    <w:rsid w:val="00B80B13"/>
    <w:rsid w:val="00B84008"/>
    <w:rsid w:val="00B91744"/>
    <w:rsid w:val="00B932C5"/>
    <w:rsid w:val="00B96C7D"/>
    <w:rsid w:val="00BA28BB"/>
    <w:rsid w:val="00BA2A96"/>
    <w:rsid w:val="00BA7ABE"/>
    <w:rsid w:val="00BB0DBA"/>
    <w:rsid w:val="00BB381C"/>
    <w:rsid w:val="00BB3AB8"/>
    <w:rsid w:val="00BB5C37"/>
    <w:rsid w:val="00BB5DF7"/>
    <w:rsid w:val="00BC0AFC"/>
    <w:rsid w:val="00BC4FDB"/>
    <w:rsid w:val="00BC5C23"/>
    <w:rsid w:val="00BC5DFF"/>
    <w:rsid w:val="00BC6240"/>
    <w:rsid w:val="00BD24FA"/>
    <w:rsid w:val="00BD53E9"/>
    <w:rsid w:val="00BD5AEF"/>
    <w:rsid w:val="00BD5F11"/>
    <w:rsid w:val="00BD709F"/>
    <w:rsid w:val="00BE02BA"/>
    <w:rsid w:val="00BE0471"/>
    <w:rsid w:val="00BE1546"/>
    <w:rsid w:val="00BE3E88"/>
    <w:rsid w:val="00BE4808"/>
    <w:rsid w:val="00BE48EC"/>
    <w:rsid w:val="00BE7BB6"/>
    <w:rsid w:val="00BF12CD"/>
    <w:rsid w:val="00BF2B2E"/>
    <w:rsid w:val="00BF478D"/>
    <w:rsid w:val="00BF6303"/>
    <w:rsid w:val="00BF63ED"/>
    <w:rsid w:val="00C02603"/>
    <w:rsid w:val="00C04620"/>
    <w:rsid w:val="00C05F86"/>
    <w:rsid w:val="00C05FD5"/>
    <w:rsid w:val="00C0721D"/>
    <w:rsid w:val="00C0758E"/>
    <w:rsid w:val="00C108EE"/>
    <w:rsid w:val="00C11FC0"/>
    <w:rsid w:val="00C1309A"/>
    <w:rsid w:val="00C14671"/>
    <w:rsid w:val="00C17184"/>
    <w:rsid w:val="00C21635"/>
    <w:rsid w:val="00C26F97"/>
    <w:rsid w:val="00C30AD3"/>
    <w:rsid w:val="00C335C8"/>
    <w:rsid w:val="00C34089"/>
    <w:rsid w:val="00C351C1"/>
    <w:rsid w:val="00C40D04"/>
    <w:rsid w:val="00C4616E"/>
    <w:rsid w:val="00C5093F"/>
    <w:rsid w:val="00C5391F"/>
    <w:rsid w:val="00C57ED5"/>
    <w:rsid w:val="00C60D5B"/>
    <w:rsid w:val="00C61DD8"/>
    <w:rsid w:val="00C64935"/>
    <w:rsid w:val="00C665A9"/>
    <w:rsid w:val="00C670B6"/>
    <w:rsid w:val="00C72749"/>
    <w:rsid w:val="00C7392B"/>
    <w:rsid w:val="00C73ED6"/>
    <w:rsid w:val="00C74AF3"/>
    <w:rsid w:val="00C74D15"/>
    <w:rsid w:val="00C803AA"/>
    <w:rsid w:val="00C8076D"/>
    <w:rsid w:val="00C844D8"/>
    <w:rsid w:val="00C84534"/>
    <w:rsid w:val="00C849B8"/>
    <w:rsid w:val="00C84B2E"/>
    <w:rsid w:val="00C86445"/>
    <w:rsid w:val="00C90431"/>
    <w:rsid w:val="00C91AE2"/>
    <w:rsid w:val="00C938E7"/>
    <w:rsid w:val="00C93F20"/>
    <w:rsid w:val="00C941A9"/>
    <w:rsid w:val="00C95737"/>
    <w:rsid w:val="00CA143E"/>
    <w:rsid w:val="00CB1164"/>
    <w:rsid w:val="00CB34F8"/>
    <w:rsid w:val="00CB4CD7"/>
    <w:rsid w:val="00CB5DCD"/>
    <w:rsid w:val="00CC02DF"/>
    <w:rsid w:val="00CC41D7"/>
    <w:rsid w:val="00CC5596"/>
    <w:rsid w:val="00CC55B4"/>
    <w:rsid w:val="00CD317D"/>
    <w:rsid w:val="00CD35CA"/>
    <w:rsid w:val="00CD43F2"/>
    <w:rsid w:val="00CD4586"/>
    <w:rsid w:val="00CE13C2"/>
    <w:rsid w:val="00CF4436"/>
    <w:rsid w:val="00CF7AB0"/>
    <w:rsid w:val="00D0042A"/>
    <w:rsid w:val="00D03398"/>
    <w:rsid w:val="00D042E0"/>
    <w:rsid w:val="00D05558"/>
    <w:rsid w:val="00D06315"/>
    <w:rsid w:val="00D13EDB"/>
    <w:rsid w:val="00D13FBA"/>
    <w:rsid w:val="00D14802"/>
    <w:rsid w:val="00D179F3"/>
    <w:rsid w:val="00D21083"/>
    <w:rsid w:val="00D23B1A"/>
    <w:rsid w:val="00D32689"/>
    <w:rsid w:val="00D32AC5"/>
    <w:rsid w:val="00D344CA"/>
    <w:rsid w:val="00D3489B"/>
    <w:rsid w:val="00D37FC6"/>
    <w:rsid w:val="00D408BE"/>
    <w:rsid w:val="00D414BF"/>
    <w:rsid w:val="00D42E51"/>
    <w:rsid w:val="00D433F1"/>
    <w:rsid w:val="00D45562"/>
    <w:rsid w:val="00D47728"/>
    <w:rsid w:val="00D50699"/>
    <w:rsid w:val="00D50BD3"/>
    <w:rsid w:val="00D51676"/>
    <w:rsid w:val="00D635A9"/>
    <w:rsid w:val="00D65407"/>
    <w:rsid w:val="00D67E17"/>
    <w:rsid w:val="00D82634"/>
    <w:rsid w:val="00D83723"/>
    <w:rsid w:val="00D84090"/>
    <w:rsid w:val="00D84155"/>
    <w:rsid w:val="00D85919"/>
    <w:rsid w:val="00D8673D"/>
    <w:rsid w:val="00D878BE"/>
    <w:rsid w:val="00D9010C"/>
    <w:rsid w:val="00D95005"/>
    <w:rsid w:val="00D96A31"/>
    <w:rsid w:val="00D97CE9"/>
    <w:rsid w:val="00DA3EAE"/>
    <w:rsid w:val="00DB4FA8"/>
    <w:rsid w:val="00DB69F5"/>
    <w:rsid w:val="00DC1979"/>
    <w:rsid w:val="00DD0F27"/>
    <w:rsid w:val="00DD58CE"/>
    <w:rsid w:val="00DD6169"/>
    <w:rsid w:val="00DD7C53"/>
    <w:rsid w:val="00DD7F3B"/>
    <w:rsid w:val="00DE1E43"/>
    <w:rsid w:val="00DE1EA8"/>
    <w:rsid w:val="00DE4057"/>
    <w:rsid w:val="00DE448F"/>
    <w:rsid w:val="00DE7167"/>
    <w:rsid w:val="00DE7B5B"/>
    <w:rsid w:val="00DF12E1"/>
    <w:rsid w:val="00DF1BA4"/>
    <w:rsid w:val="00DF3828"/>
    <w:rsid w:val="00E011C6"/>
    <w:rsid w:val="00E03A9C"/>
    <w:rsid w:val="00E055D6"/>
    <w:rsid w:val="00E06114"/>
    <w:rsid w:val="00E10925"/>
    <w:rsid w:val="00E12E41"/>
    <w:rsid w:val="00E1455F"/>
    <w:rsid w:val="00E14B0C"/>
    <w:rsid w:val="00E150DD"/>
    <w:rsid w:val="00E17999"/>
    <w:rsid w:val="00E22CFB"/>
    <w:rsid w:val="00E23EBF"/>
    <w:rsid w:val="00E37800"/>
    <w:rsid w:val="00E40C40"/>
    <w:rsid w:val="00E41AD0"/>
    <w:rsid w:val="00E41CCB"/>
    <w:rsid w:val="00E43D26"/>
    <w:rsid w:val="00E45BEC"/>
    <w:rsid w:val="00E47937"/>
    <w:rsid w:val="00E5709F"/>
    <w:rsid w:val="00E6576C"/>
    <w:rsid w:val="00E65B19"/>
    <w:rsid w:val="00E665C2"/>
    <w:rsid w:val="00E722C0"/>
    <w:rsid w:val="00E75C28"/>
    <w:rsid w:val="00E75F48"/>
    <w:rsid w:val="00E76CB6"/>
    <w:rsid w:val="00E83583"/>
    <w:rsid w:val="00E838BA"/>
    <w:rsid w:val="00E86818"/>
    <w:rsid w:val="00E869DD"/>
    <w:rsid w:val="00E96A5C"/>
    <w:rsid w:val="00EA045B"/>
    <w:rsid w:val="00EA067A"/>
    <w:rsid w:val="00EA7C03"/>
    <w:rsid w:val="00EB22E2"/>
    <w:rsid w:val="00EB518D"/>
    <w:rsid w:val="00EB57AF"/>
    <w:rsid w:val="00EC18A7"/>
    <w:rsid w:val="00EC2E30"/>
    <w:rsid w:val="00EC36F6"/>
    <w:rsid w:val="00EC6B23"/>
    <w:rsid w:val="00EE1885"/>
    <w:rsid w:val="00EE554D"/>
    <w:rsid w:val="00EE5556"/>
    <w:rsid w:val="00EE7550"/>
    <w:rsid w:val="00EF10BE"/>
    <w:rsid w:val="00EF38CF"/>
    <w:rsid w:val="00EF3DE1"/>
    <w:rsid w:val="00EF53F5"/>
    <w:rsid w:val="00EF73DF"/>
    <w:rsid w:val="00F00CD9"/>
    <w:rsid w:val="00F020B9"/>
    <w:rsid w:val="00F025B0"/>
    <w:rsid w:val="00F04A0C"/>
    <w:rsid w:val="00F05A2E"/>
    <w:rsid w:val="00F07170"/>
    <w:rsid w:val="00F10AAD"/>
    <w:rsid w:val="00F121C9"/>
    <w:rsid w:val="00F124A1"/>
    <w:rsid w:val="00F1385A"/>
    <w:rsid w:val="00F14228"/>
    <w:rsid w:val="00F14DD9"/>
    <w:rsid w:val="00F16F4A"/>
    <w:rsid w:val="00F2233E"/>
    <w:rsid w:val="00F22DE2"/>
    <w:rsid w:val="00F25557"/>
    <w:rsid w:val="00F31238"/>
    <w:rsid w:val="00F33C1C"/>
    <w:rsid w:val="00F37DB7"/>
    <w:rsid w:val="00F52AA6"/>
    <w:rsid w:val="00F53B40"/>
    <w:rsid w:val="00F55207"/>
    <w:rsid w:val="00F60A8F"/>
    <w:rsid w:val="00F64345"/>
    <w:rsid w:val="00F6673D"/>
    <w:rsid w:val="00F677F1"/>
    <w:rsid w:val="00F718DC"/>
    <w:rsid w:val="00F7528C"/>
    <w:rsid w:val="00F800A4"/>
    <w:rsid w:val="00F84E40"/>
    <w:rsid w:val="00F84F88"/>
    <w:rsid w:val="00F91A25"/>
    <w:rsid w:val="00F9462C"/>
    <w:rsid w:val="00F94E26"/>
    <w:rsid w:val="00F94E85"/>
    <w:rsid w:val="00F95FEE"/>
    <w:rsid w:val="00FA1844"/>
    <w:rsid w:val="00FA25A9"/>
    <w:rsid w:val="00FA29F8"/>
    <w:rsid w:val="00FA3E1A"/>
    <w:rsid w:val="00FA5EC8"/>
    <w:rsid w:val="00FA60D3"/>
    <w:rsid w:val="00FB236A"/>
    <w:rsid w:val="00FB2542"/>
    <w:rsid w:val="00FB2B34"/>
    <w:rsid w:val="00FB54DD"/>
    <w:rsid w:val="00FB5B5F"/>
    <w:rsid w:val="00FB70C6"/>
    <w:rsid w:val="00FC04F2"/>
    <w:rsid w:val="00FC153F"/>
    <w:rsid w:val="00FC39A5"/>
    <w:rsid w:val="00FC3E6D"/>
    <w:rsid w:val="00FC4AF8"/>
    <w:rsid w:val="00FC5FEE"/>
    <w:rsid w:val="00FC625B"/>
    <w:rsid w:val="00FC6499"/>
    <w:rsid w:val="00FC757A"/>
    <w:rsid w:val="00FC76E9"/>
    <w:rsid w:val="00FD0E72"/>
    <w:rsid w:val="00FD2678"/>
    <w:rsid w:val="00FD4E55"/>
    <w:rsid w:val="00FD4FA9"/>
    <w:rsid w:val="00FD7EE3"/>
    <w:rsid w:val="00FE03A0"/>
    <w:rsid w:val="00FE1B9B"/>
    <w:rsid w:val="00FE3735"/>
    <w:rsid w:val="00FE4075"/>
    <w:rsid w:val="00FE6610"/>
    <w:rsid w:val="00FE7595"/>
    <w:rsid w:val="00FF4368"/>
    <w:rsid w:val="020424B8"/>
    <w:rsid w:val="02BB6822"/>
    <w:rsid w:val="1040135D"/>
    <w:rsid w:val="10C9B223"/>
    <w:rsid w:val="13A33DD5"/>
    <w:rsid w:val="158094E0"/>
    <w:rsid w:val="1DA04D6D"/>
    <w:rsid w:val="2720E7B1"/>
    <w:rsid w:val="2CD438E8"/>
    <w:rsid w:val="32451876"/>
    <w:rsid w:val="3432B00A"/>
    <w:rsid w:val="384A2293"/>
    <w:rsid w:val="3A3D7F93"/>
    <w:rsid w:val="3DBB6258"/>
    <w:rsid w:val="3EC4F403"/>
    <w:rsid w:val="40D06221"/>
    <w:rsid w:val="5084AE39"/>
    <w:rsid w:val="5364F137"/>
    <w:rsid w:val="54EE98BA"/>
    <w:rsid w:val="6D0987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8F0AB"/>
  <w15:chartTrackingRefBased/>
  <w15:docId w15:val="{2F0B5493-8049-4A00-A36E-0FC9135E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1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1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1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1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922"/>
    <w:rPr>
      <w:rFonts w:eastAsiaTheme="majorEastAsia" w:cstheme="majorBidi"/>
      <w:color w:val="272727" w:themeColor="text1" w:themeTint="D8"/>
    </w:rPr>
  </w:style>
  <w:style w:type="paragraph" w:styleId="Title">
    <w:name w:val="Title"/>
    <w:basedOn w:val="Normal"/>
    <w:next w:val="Normal"/>
    <w:link w:val="TitleChar"/>
    <w:uiPriority w:val="10"/>
    <w:qFormat/>
    <w:rsid w:val="00511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922"/>
    <w:pPr>
      <w:spacing w:before="160"/>
      <w:jc w:val="center"/>
    </w:pPr>
    <w:rPr>
      <w:i/>
      <w:iCs/>
      <w:color w:val="404040" w:themeColor="text1" w:themeTint="BF"/>
    </w:rPr>
  </w:style>
  <w:style w:type="character" w:customStyle="1" w:styleId="QuoteChar">
    <w:name w:val="Quote Char"/>
    <w:basedOn w:val="DefaultParagraphFont"/>
    <w:link w:val="Quote"/>
    <w:uiPriority w:val="29"/>
    <w:rsid w:val="00511922"/>
    <w:rPr>
      <w:i/>
      <w:iCs/>
      <w:color w:val="404040" w:themeColor="text1" w:themeTint="BF"/>
    </w:rPr>
  </w:style>
  <w:style w:type="paragraph" w:styleId="ListParagraph">
    <w:name w:val="List Paragraph"/>
    <w:basedOn w:val="Normal"/>
    <w:uiPriority w:val="34"/>
    <w:qFormat/>
    <w:rsid w:val="00511922"/>
    <w:pPr>
      <w:ind w:left="720"/>
      <w:contextualSpacing/>
    </w:pPr>
  </w:style>
  <w:style w:type="character" w:styleId="IntenseEmphasis">
    <w:name w:val="Intense Emphasis"/>
    <w:basedOn w:val="DefaultParagraphFont"/>
    <w:uiPriority w:val="21"/>
    <w:qFormat/>
    <w:rsid w:val="00511922"/>
    <w:rPr>
      <w:i/>
      <w:iCs/>
      <w:color w:val="0F4761" w:themeColor="accent1" w:themeShade="BF"/>
    </w:rPr>
  </w:style>
  <w:style w:type="paragraph" w:styleId="IntenseQuote">
    <w:name w:val="Intense Quote"/>
    <w:basedOn w:val="Normal"/>
    <w:next w:val="Normal"/>
    <w:link w:val="IntenseQuoteChar"/>
    <w:uiPriority w:val="30"/>
    <w:qFormat/>
    <w:rsid w:val="00511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922"/>
    <w:rPr>
      <w:i/>
      <w:iCs/>
      <w:color w:val="0F4761" w:themeColor="accent1" w:themeShade="BF"/>
    </w:rPr>
  </w:style>
  <w:style w:type="character" w:styleId="IntenseReference">
    <w:name w:val="Intense Reference"/>
    <w:basedOn w:val="DefaultParagraphFont"/>
    <w:uiPriority w:val="32"/>
    <w:qFormat/>
    <w:rsid w:val="00511922"/>
    <w:rPr>
      <w:b/>
      <w:bCs/>
      <w:smallCaps/>
      <w:color w:val="0F4761" w:themeColor="accent1" w:themeShade="BF"/>
      <w:spacing w:val="5"/>
    </w:rPr>
  </w:style>
  <w:style w:type="character" w:styleId="CommentReference">
    <w:name w:val="annotation reference"/>
    <w:basedOn w:val="DefaultParagraphFont"/>
    <w:uiPriority w:val="99"/>
    <w:semiHidden/>
    <w:unhideWhenUsed/>
    <w:rsid w:val="00BD5F11"/>
    <w:rPr>
      <w:sz w:val="16"/>
      <w:szCs w:val="16"/>
    </w:rPr>
  </w:style>
  <w:style w:type="paragraph" w:styleId="CommentText">
    <w:name w:val="annotation text"/>
    <w:basedOn w:val="Normal"/>
    <w:link w:val="CommentTextChar"/>
    <w:uiPriority w:val="99"/>
    <w:unhideWhenUsed/>
    <w:rsid w:val="00BD5F11"/>
    <w:pPr>
      <w:spacing w:line="240" w:lineRule="auto"/>
    </w:pPr>
    <w:rPr>
      <w:sz w:val="20"/>
      <w:szCs w:val="20"/>
    </w:rPr>
  </w:style>
  <w:style w:type="character" w:customStyle="1" w:styleId="CommentTextChar">
    <w:name w:val="Comment Text Char"/>
    <w:basedOn w:val="DefaultParagraphFont"/>
    <w:link w:val="CommentText"/>
    <w:uiPriority w:val="99"/>
    <w:rsid w:val="00BD5F11"/>
    <w:rPr>
      <w:sz w:val="20"/>
      <w:szCs w:val="20"/>
    </w:rPr>
  </w:style>
  <w:style w:type="character" w:styleId="Hyperlink">
    <w:name w:val="Hyperlink"/>
    <w:basedOn w:val="DefaultParagraphFont"/>
    <w:uiPriority w:val="99"/>
    <w:unhideWhenUsed/>
    <w:rsid w:val="00BD5F11"/>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75F60"/>
    <w:rPr>
      <w:b/>
      <w:bCs/>
    </w:rPr>
  </w:style>
  <w:style w:type="character" w:customStyle="1" w:styleId="CommentSubjectChar">
    <w:name w:val="Comment Subject Char"/>
    <w:basedOn w:val="CommentTextChar"/>
    <w:link w:val="CommentSubject"/>
    <w:uiPriority w:val="99"/>
    <w:semiHidden/>
    <w:rsid w:val="00175F60"/>
    <w:rPr>
      <w:b/>
      <w:bCs/>
      <w:sz w:val="20"/>
      <w:szCs w:val="20"/>
    </w:rPr>
  </w:style>
  <w:style w:type="paragraph" w:styleId="EndnoteText">
    <w:name w:val="endnote text"/>
    <w:basedOn w:val="Normal"/>
    <w:link w:val="EndnoteTextChar"/>
    <w:uiPriority w:val="99"/>
    <w:unhideWhenUsed/>
    <w:rsid w:val="00036322"/>
    <w:pPr>
      <w:spacing w:after="0" w:line="240" w:lineRule="auto"/>
    </w:pPr>
    <w:rPr>
      <w:sz w:val="20"/>
      <w:szCs w:val="20"/>
    </w:rPr>
  </w:style>
  <w:style w:type="character" w:customStyle="1" w:styleId="EndnoteTextChar">
    <w:name w:val="Endnote Text Char"/>
    <w:basedOn w:val="DefaultParagraphFont"/>
    <w:link w:val="EndnoteText"/>
    <w:uiPriority w:val="99"/>
    <w:rsid w:val="00036322"/>
    <w:rPr>
      <w:sz w:val="20"/>
      <w:szCs w:val="20"/>
    </w:rPr>
  </w:style>
  <w:style w:type="character" w:styleId="EndnoteReference">
    <w:name w:val="endnote reference"/>
    <w:basedOn w:val="DefaultParagraphFont"/>
    <w:uiPriority w:val="99"/>
    <w:unhideWhenUsed/>
    <w:rsid w:val="00036322"/>
    <w:rPr>
      <w:vertAlign w:val="superscript"/>
    </w:rPr>
  </w:style>
  <w:style w:type="paragraph" w:styleId="FootnoteText">
    <w:name w:val="footnote text"/>
    <w:basedOn w:val="Normal"/>
    <w:link w:val="FootnoteTextChar"/>
    <w:uiPriority w:val="99"/>
    <w:unhideWhenUsed/>
    <w:rsid w:val="00BD24FA"/>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BD24FA"/>
    <w:rPr>
      <w:sz w:val="20"/>
      <w:szCs w:val="20"/>
      <w:lang w:val="en-CA"/>
    </w:rPr>
  </w:style>
  <w:style w:type="character" w:customStyle="1" w:styleId="UnresolvedMention1">
    <w:name w:val="Unresolved Mention1"/>
    <w:basedOn w:val="DefaultParagraphFont"/>
    <w:uiPriority w:val="99"/>
    <w:semiHidden/>
    <w:unhideWhenUsed/>
    <w:rsid w:val="00BD24FA"/>
    <w:rPr>
      <w:color w:val="605E5C"/>
      <w:shd w:val="clear" w:color="auto" w:fill="E1DFDD"/>
    </w:rPr>
  </w:style>
  <w:style w:type="paragraph" w:styleId="Header">
    <w:name w:val="header"/>
    <w:basedOn w:val="Normal"/>
    <w:link w:val="HeaderChar"/>
    <w:uiPriority w:val="99"/>
    <w:unhideWhenUsed/>
    <w:rsid w:val="0099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36A"/>
  </w:style>
  <w:style w:type="paragraph" w:styleId="Footer">
    <w:name w:val="footer"/>
    <w:basedOn w:val="Normal"/>
    <w:link w:val="FooterChar"/>
    <w:uiPriority w:val="99"/>
    <w:unhideWhenUsed/>
    <w:rsid w:val="0099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36A"/>
  </w:style>
  <w:style w:type="paragraph" w:styleId="Revision">
    <w:name w:val="Revision"/>
    <w:hidden/>
    <w:uiPriority w:val="99"/>
    <w:semiHidden/>
    <w:rsid w:val="005E19C5"/>
    <w:pPr>
      <w:spacing w:after="0" w:line="240" w:lineRule="auto"/>
    </w:pPr>
  </w:style>
  <w:style w:type="character" w:styleId="FollowedHyperlink">
    <w:name w:val="FollowedHyperlink"/>
    <w:basedOn w:val="DefaultParagraphFont"/>
    <w:uiPriority w:val="99"/>
    <w:semiHidden/>
    <w:unhideWhenUsed/>
    <w:rsid w:val="00CD317D"/>
    <w:rPr>
      <w:color w:val="96607D" w:themeColor="followedHyperlink"/>
      <w:u w:val="single"/>
    </w:rPr>
  </w:style>
  <w:style w:type="paragraph" w:styleId="TOC1">
    <w:name w:val="toc 1"/>
    <w:basedOn w:val="Normal"/>
    <w:next w:val="Normal"/>
    <w:autoRedefine/>
    <w:uiPriority w:val="39"/>
    <w:unhideWhenUsed/>
    <w:rsid w:val="002527FC"/>
    <w:pPr>
      <w:spacing w:after="100"/>
    </w:pPr>
  </w:style>
  <w:style w:type="paragraph" w:styleId="TOC2">
    <w:name w:val="toc 2"/>
    <w:basedOn w:val="Normal"/>
    <w:next w:val="Normal"/>
    <w:autoRedefine/>
    <w:uiPriority w:val="39"/>
    <w:unhideWhenUsed/>
    <w:rsid w:val="002527FC"/>
    <w:pPr>
      <w:spacing w:after="100"/>
      <w:ind w:left="220"/>
    </w:pPr>
  </w:style>
  <w:style w:type="paragraph" w:styleId="TOC3">
    <w:name w:val="toc 3"/>
    <w:basedOn w:val="Normal"/>
    <w:next w:val="Normal"/>
    <w:autoRedefine/>
    <w:uiPriority w:val="39"/>
    <w:unhideWhenUsed/>
    <w:rsid w:val="00FE1B9B"/>
    <w:pPr>
      <w:spacing w:after="100"/>
      <w:ind w:left="440"/>
    </w:pPr>
  </w:style>
  <w:style w:type="paragraph" w:styleId="BalloonText">
    <w:name w:val="Balloon Text"/>
    <w:basedOn w:val="Normal"/>
    <w:link w:val="BalloonTextChar"/>
    <w:uiPriority w:val="99"/>
    <w:semiHidden/>
    <w:unhideWhenUsed/>
    <w:rsid w:val="00595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1146">
      <w:bodyDiv w:val="1"/>
      <w:marLeft w:val="0"/>
      <w:marRight w:val="0"/>
      <w:marTop w:val="0"/>
      <w:marBottom w:val="0"/>
      <w:divBdr>
        <w:top w:val="none" w:sz="0" w:space="0" w:color="auto"/>
        <w:left w:val="none" w:sz="0" w:space="0" w:color="auto"/>
        <w:bottom w:val="none" w:sz="0" w:space="0" w:color="auto"/>
        <w:right w:val="none" w:sz="0" w:space="0" w:color="auto"/>
      </w:divBdr>
    </w:div>
    <w:div w:id="37825982">
      <w:bodyDiv w:val="1"/>
      <w:marLeft w:val="0"/>
      <w:marRight w:val="0"/>
      <w:marTop w:val="0"/>
      <w:marBottom w:val="0"/>
      <w:divBdr>
        <w:top w:val="none" w:sz="0" w:space="0" w:color="auto"/>
        <w:left w:val="none" w:sz="0" w:space="0" w:color="auto"/>
        <w:bottom w:val="none" w:sz="0" w:space="0" w:color="auto"/>
        <w:right w:val="none" w:sz="0" w:space="0" w:color="auto"/>
      </w:divBdr>
    </w:div>
    <w:div w:id="47605760">
      <w:bodyDiv w:val="1"/>
      <w:marLeft w:val="0"/>
      <w:marRight w:val="0"/>
      <w:marTop w:val="0"/>
      <w:marBottom w:val="0"/>
      <w:divBdr>
        <w:top w:val="none" w:sz="0" w:space="0" w:color="auto"/>
        <w:left w:val="none" w:sz="0" w:space="0" w:color="auto"/>
        <w:bottom w:val="none" w:sz="0" w:space="0" w:color="auto"/>
        <w:right w:val="none" w:sz="0" w:space="0" w:color="auto"/>
      </w:divBdr>
    </w:div>
    <w:div w:id="167331532">
      <w:bodyDiv w:val="1"/>
      <w:marLeft w:val="0"/>
      <w:marRight w:val="0"/>
      <w:marTop w:val="0"/>
      <w:marBottom w:val="0"/>
      <w:divBdr>
        <w:top w:val="none" w:sz="0" w:space="0" w:color="auto"/>
        <w:left w:val="none" w:sz="0" w:space="0" w:color="auto"/>
        <w:bottom w:val="none" w:sz="0" w:space="0" w:color="auto"/>
        <w:right w:val="none" w:sz="0" w:space="0" w:color="auto"/>
      </w:divBdr>
    </w:div>
    <w:div w:id="171993358">
      <w:bodyDiv w:val="1"/>
      <w:marLeft w:val="0"/>
      <w:marRight w:val="0"/>
      <w:marTop w:val="0"/>
      <w:marBottom w:val="0"/>
      <w:divBdr>
        <w:top w:val="none" w:sz="0" w:space="0" w:color="auto"/>
        <w:left w:val="none" w:sz="0" w:space="0" w:color="auto"/>
        <w:bottom w:val="none" w:sz="0" w:space="0" w:color="auto"/>
        <w:right w:val="none" w:sz="0" w:space="0" w:color="auto"/>
      </w:divBdr>
    </w:div>
    <w:div w:id="313413104">
      <w:bodyDiv w:val="1"/>
      <w:marLeft w:val="0"/>
      <w:marRight w:val="0"/>
      <w:marTop w:val="0"/>
      <w:marBottom w:val="0"/>
      <w:divBdr>
        <w:top w:val="none" w:sz="0" w:space="0" w:color="auto"/>
        <w:left w:val="none" w:sz="0" w:space="0" w:color="auto"/>
        <w:bottom w:val="none" w:sz="0" w:space="0" w:color="auto"/>
        <w:right w:val="none" w:sz="0" w:space="0" w:color="auto"/>
      </w:divBdr>
    </w:div>
    <w:div w:id="414593332">
      <w:bodyDiv w:val="1"/>
      <w:marLeft w:val="0"/>
      <w:marRight w:val="0"/>
      <w:marTop w:val="0"/>
      <w:marBottom w:val="0"/>
      <w:divBdr>
        <w:top w:val="none" w:sz="0" w:space="0" w:color="auto"/>
        <w:left w:val="none" w:sz="0" w:space="0" w:color="auto"/>
        <w:bottom w:val="none" w:sz="0" w:space="0" w:color="auto"/>
        <w:right w:val="none" w:sz="0" w:space="0" w:color="auto"/>
      </w:divBdr>
    </w:div>
    <w:div w:id="468976612">
      <w:bodyDiv w:val="1"/>
      <w:marLeft w:val="0"/>
      <w:marRight w:val="0"/>
      <w:marTop w:val="0"/>
      <w:marBottom w:val="0"/>
      <w:divBdr>
        <w:top w:val="none" w:sz="0" w:space="0" w:color="auto"/>
        <w:left w:val="none" w:sz="0" w:space="0" w:color="auto"/>
        <w:bottom w:val="none" w:sz="0" w:space="0" w:color="auto"/>
        <w:right w:val="none" w:sz="0" w:space="0" w:color="auto"/>
      </w:divBdr>
    </w:div>
    <w:div w:id="472917399">
      <w:bodyDiv w:val="1"/>
      <w:marLeft w:val="0"/>
      <w:marRight w:val="0"/>
      <w:marTop w:val="0"/>
      <w:marBottom w:val="0"/>
      <w:divBdr>
        <w:top w:val="none" w:sz="0" w:space="0" w:color="auto"/>
        <w:left w:val="none" w:sz="0" w:space="0" w:color="auto"/>
        <w:bottom w:val="none" w:sz="0" w:space="0" w:color="auto"/>
        <w:right w:val="none" w:sz="0" w:space="0" w:color="auto"/>
      </w:divBdr>
    </w:div>
    <w:div w:id="653605037">
      <w:bodyDiv w:val="1"/>
      <w:marLeft w:val="0"/>
      <w:marRight w:val="0"/>
      <w:marTop w:val="0"/>
      <w:marBottom w:val="0"/>
      <w:divBdr>
        <w:top w:val="none" w:sz="0" w:space="0" w:color="auto"/>
        <w:left w:val="none" w:sz="0" w:space="0" w:color="auto"/>
        <w:bottom w:val="none" w:sz="0" w:space="0" w:color="auto"/>
        <w:right w:val="none" w:sz="0" w:space="0" w:color="auto"/>
      </w:divBdr>
    </w:div>
    <w:div w:id="832649678">
      <w:bodyDiv w:val="1"/>
      <w:marLeft w:val="0"/>
      <w:marRight w:val="0"/>
      <w:marTop w:val="0"/>
      <w:marBottom w:val="0"/>
      <w:divBdr>
        <w:top w:val="none" w:sz="0" w:space="0" w:color="auto"/>
        <w:left w:val="none" w:sz="0" w:space="0" w:color="auto"/>
        <w:bottom w:val="none" w:sz="0" w:space="0" w:color="auto"/>
        <w:right w:val="none" w:sz="0" w:space="0" w:color="auto"/>
      </w:divBdr>
    </w:div>
    <w:div w:id="920987369">
      <w:bodyDiv w:val="1"/>
      <w:marLeft w:val="0"/>
      <w:marRight w:val="0"/>
      <w:marTop w:val="0"/>
      <w:marBottom w:val="0"/>
      <w:divBdr>
        <w:top w:val="none" w:sz="0" w:space="0" w:color="auto"/>
        <w:left w:val="none" w:sz="0" w:space="0" w:color="auto"/>
        <w:bottom w:val="none" w:sz="0" w:space="0" w:color="auto"/>
        <w:right w:val="none" w:sz="0" w:space="0" w:color="auto"/>
      </w:divBdr>
    </w:div>
    <w:div w:id="926764750">
      <w:bodyDiv w:val="1"/>
      <w:marLeft w:val="0"/>
      <w:marRight w:val="0"/>
      <w:marTop w:val="0"/>
      <w:marBottom w:val="0"/>
      <w:divBdr>
        <w:top w:val="none" w:sz="0" w:space="0" w:color="auto"/>
        <w:left w:val="none" w:sz="0" w:space="0" w:color="auto"/>
        <w:bottom w:val="none" w:sz="0" w:space="0" w:color="auto"/>
        <w:right w:val="none" w:sz="0" w:space="0" w:color="auto"/>
      </w:divBdr>
    </w:div>
    <w:div w:id="1025322881">
      <w:bodyDiv w:val="1"/>
      <w:marLeft w:val="0"/>
      <w:marRight w:val="0"/>
      <w:marTop w:val="0"/>
      <w:marBottom w:val="0"/>
      <w:divBdr>
        <w:top w:val="none" w:sz="0" w:space="0" w:color="auto"/>
        <w:left w:val="none" w:sz="0" w:space="0" w:color="auto"/>
        <w:bottom w:val="none" w:sz="0" w:space="0" w:color="auto"/>
        <w:right w:val="none" w:sz="0" w:space="0" w:color="auto"/>
      </w:divBdr>
    </w:div>
    <w:div w:id="1118182659">
      <w:bodyDiv w:val="1"/>
      <w:marLeft w:val="0"/>
      <w:marRight w:val="0"/>
      <w:marTop w:val="0"/>
      <w:marBottom w:val="0"/>
      <w:divBdr>
        <w:top w:val="none" w:sz="0" w:space="0" w:color="auto"/>
        <w:left w:val="none" w:sz="0" w:space="0" w:color="auto"/>
        <w:bottom w:val="none" w:sz="0" w:space="0" w:color="auto"/>
        <w:right w:val="none" w:sz="0" w:space="0" w:color="auto"/>
      </w:divBdr>
    </w:div>
    <w:div w:id="1128664740">
      <w:bodyDiv w:val="1"/>
      <w:marLeft w:val="0"/>
      <w:marRight w:val="0"/>
      <w:marTop w:val="0"/>
      <w:marBottom w:val="0"/>
      <w:divBdr>
        <w:top w:val="none" w:sz="0" w:space="0" w:color="auto"/>
        <w:left w:val="none" w:sz="0" w:space="0" w:color="auto"/>
        <w:bottom w:val="none" w:sz="0" w:space="0" w:color="auto"/>
        <w:right w:val="none" w:sz="0" w:space="0" w:color="auto"/>
      </w:divBdr>
    </w:div>
    <w:div w:id="1150975706">
      <w:bodyDiv w:val="1"/>
      <w:marLeft w:val="0"/>
      <w:marRight w:val="0"/>
      <w:marTop w:val="0"/>
      <w:marBottom w:val="0"/>
      <w:divBdr>
        <w:top w:val="none" w:sz="0" w:space="0" w:color="auto"/>
        <w:left w:val="none" w:sz="0" w:space="0" w:color="auto"/>
        <w:bottom w:val="none" w:sz="0" w:space="0" w:color="auto"/>
        <w:right w:val="none" w:sz="0" w:space="0" w:color="auto"/>
      </w:divBdr>
    </w:div>
    <w:div w:id="1305893675">
      <w:bodyDiv w:val="1"/>
      <w:marLeft w:val="0"/>
      <w:marRight w:val="0"/>
      <w:marTop w:val="0"/>
      <w:marBottom w:val="0"/>
      <w:divBdr>
        <w:top w:val="none" w:sz="0" w:space="0" w:color="auto"/>
        <w:left w:val="none" w:sz="0" w:space="0" w:color="auto"/>
        <w:bottom w:val="none" w:sz="0" w:space="0" w:color="auto"/>
        <w:right w:val="none" w:sz="0" w:space="0" w:color="auto"/>
      </w:divBdr>
    </w:div>
    <w:div w:id="1332903532">
      <w:bodyDiv w:val="1"/>
      <w:marLeft w:val="0"/>
      <w:marRight w:val="0"/>
      <w:marTop w:val="0"/>
      <w:marBottom w:val="0"/>
      <w:divBdr>
        <w:top w:val="none" w:sz="0" w:space="0" w:color="auto"/>
        <w:left w:val="none" w:sz="0" w:space="0" w:color="auto"/>
        <w:bottom w:val="none" w:sz="0" w:space="0" w:color="auto"/>
        <w:right w:val="none" w:sz="0" w:space="0" w:color="auto"/>
      </w:divBdr>
    </w:div>
    <w:div w:id="1339769778">
      <w:bodyDiv w:val="1"/>
      <w:marLeft w:val="0"/>
      <w:marRight w:val="0"/>
      <w:marTop w:val="0"/>
      <w:marBottom w:val="0"/>
      <w:divBdr>
        <w:top w:val="none" w:sz="0" w:space="0" w:color="auto"/>
        <w:left w:val="none" w:sz="0" w:space="0" w:color="auto"/>
        <w:bottom w:val="none" w:sz="0" w:space="0" w:color="auto"/>
        <w:right w:val="none" w:sz="0" w:space="0" w:color="auto"/>
      </w:divBdr>
    </w:div>
    <w:div w:id="1460343829">
      <w:bodyDiv w:val="1"/>
      <w:marLeft w:val="0"/>
      <w:marRight w:val="0"/>
      <w:marTop w:val="0"/>
      <w:marBottom w:val="0"/>
      <w:divBdr>
        <w:top w:val="none" w:sz="0" w:space="0" w:color="auto"/>
        <w:left w:val="none" w:sz="0" w:space="0" w:color="auto"/>
        <w:bottom w:val="none" w:sz="0" w:space="0" w:color="auto"/>
        <w:right w:val="none" w:sz="0" w:space="0" w:color="auto"/>
      </w:divBdr>
    </w:div>
    <w:div w:id="1463421152">
      <w:bodyDiv w:val="1"/>
      <w:marLeft w:val="0"/>
      <w:marRight w:val="0"/>
      <w:marTop w:val="0"/>
      <w:marBottom w:val="0"/>
      <w:divBdr>
        <w:top w:val="none" w:sz="0" w:space="0" w:color="auto"/>
        <w:left w:val="none" w:sz="0" w:space="0" w:color="auto"/>
        <w:bottom w:val="none" w:sz="0" w:space="0" w:color="auto"/>
        <w:right w:val="none" w:sz="0" w:space="0" w:color="auto"/>
      </w:divBdr>
    </w:div>
    <w:div w:id="1610234898">
      <w:bodyDiv w:val="1"/>
      <w:marLeft w:val="0"/>
      <w:marRight w:val="0"/>
      <w:marTop w:val="0"/>
      <w:marBottom w:val="0"/>
      <w:divBdr>
        <w:top w:val="none" w:sz="0" w:space="0" w:color="auto"/>
        <w:left w:val="none" w:sz="0" w:space="0" w:color="auto"/>
        <w:bottom w:val="none" w:sz="0" w:space="0" w:color="auto"/>
        <w:right w:val="none" w:sz="0" w:space="0" w:color="auto"/>
      </w:divBdr>
    </w:div>
    <w:div w:id="1630238681">
      <w:bodyDiv w:val="1"/>
      <w:marLeft w:val="0"/>
      <w:marRight w:val="0"/>
      <w:marTop w:val="0"/>
      <w:marBottom w:val="0"/>
      <w:divBdr>
        <w:top w:val="none" w:sz="0" w:space="0" w:color="auto"/>
        <w:left w:val="none" w:sz="0" w:space="0" w:color="auto"/>
        <w:bottom w:val="none" w:sz="0" w:space="0" w:color="auto"/>
        <w:right w:val="none" w:sz="0" w:space="0" w:color="auto"/>
      </w:divBdr>
    </w:div>
    <w:div w:id="1682925080">
      <w:bodyDiv w:val="1"/>
      <w:marLeft w:val="0"/>
      <w:marRight w:val="0"/>
      <w:marTop w:val="0"/>
      <w:marBottom w:val="0"/>
      <w:divBdr>
        <w:top w:val="none" w:sz="0" w:space="0" w:color="auto"/>
        <w:left w:val="none" w:sz="0" w:space="0" w:color="auto"/>
        <w:bottom w:val="none" w:sz="0" w:space="0" w:color="auto"/>
        <w:right w:val="none" w:sz="0" w:space="0" w:color="auto"/>
      </w:divBdr>
    </w:div>
    <w:div w:id="1683507451">
      <w:bodyDiv w:val="1"/>
      <w:marLeft w:val="0"/>
      <w:marRight w:val="0"/>
      <w:marTop w:val="0"/>
      <w:marBottom w:val="0"/>
      <w:divBdr>
        <w:top w:val="none" w:sz="0" w:space="0" w:color="auto"/>
        <w:left w:val="none" w:sz="0" w:space="0" w:color="auto"/>
        <w:bottom w:val="none" w:sz="0" w:space="0" w:color="auto"/>
        <w:right w:val="none" w:sz="0" w:space="0" w:color="auto"/>
      </w:divBdr>
    </w:div>
    <w:div w:id="1693532987">
      <w:bodyDiv w:val="1"/>
      <w:marLeft w:val="0"/>
      <w:marRight w:val="0"/>
      <w:marTop w:val="0"/>
      <w:marBottom w:val="0"/>
      <w:divBdr>
        <w:top w:val="none" w:sz="0" w:space="0" w:color="auto"/>
        <w:left w:val="none" w:sz="0" w:space="0" w:color="auto"/>
        <w:bottom w:val="none" w:sz="0" w:space="0" w:color="auto"/>
        <w:right w:val="none" w:sz="0" w:space="0" w:color="auto"/>
      </w:divBdr>
    </w:div>
    <w:div w:id="1758600764">
      <w:bodyDiv w:val="1"/>
      <w:marLeft w:val="0"/>
      <w:marRight w:val="0"/>
      <w:marTop w:val="0"/>
      <w:marBottom w:val="0"/>
      <w:divBdr>
        <w:top w:val="none" w:sz="0" w:space="0" w:color="auto"/>
        <w:left w:val="none" w:sz="0" w:space="0" w:color="auto"/>
        <w:bottom w:val="none" w:sz="0" w:space="0" w:color="auto"/>
        <w:right w:val="none" w:sz="0" w:space="0" w:color="auto"/>
      </w:divBdr>
    </w:div>
    <w:div w:id="1812289906">
      <w:bodyDiv w:val="1"/>
      <w:marLeft w:val="0"/>
      <w:marRight w:val="0"/>
      <w:marTop w:val="0"/>
      <w:marBottom w:val="0"/>
      <w:divBdr>
        <w:top w:val="none" w:sz="0" w:space="0" w:color="auto"/>
        <w:left w:val="none" w:sz="0" w:space="0" w:color="auto"/>
        <w:bottom w:val="none" w:sz="0" w:space="0" w:color="auto"/>
        <w:right w:val="none" w:sz="0" w:space="0" w:color="auto"/>
      </w:divBdr>
    </w:div>
    <w:div w:id="1812290314">
      <w:bodyDiv w:val="1"/>
      <w:marLeft w:val="0"/>
      <w:marRight w:val="0"/>
      <w:marTop w:val="0"/>
      <w:marBottom w:val="0"/>
      <w:divBdr>
        <w:top w:val="none" w:sz="0" w:space="0" w:color="auto"/>
        <w:left w:val="none" w:sz="0" w:space="0" w:color="auto"/>
        <w:bottom w:val="none" w:sz="0" w:space="0" w:color="auto"/>
        <w:right w:val="none" w:sz="0" w:space="0" w:color="auto"/>
      </w:divBdr>
    </w:div>
    <w:div w:id="1815755603">
      <w:bodyDiv w:val="1"/>
      <w:marLeft w:val="0"/>
      <w:marRight w:val="0"/>
      <w:marTop w:val="0"/>
      <w:marBottom w:val="0"/>
      <w:divBdr>
        <w:top w:val="none" w:sz="0" w:space="0" w:color="auto"/>
        <w:left w:val="none" w:sz="0" w:space="0" w:color="auto"/>
        <w:bottom w:val="none" w:sz="0" w:space="0" w:color="auto"/>
        <w:right w:val="none" w:sz="0" w:space="0" w:color="auto"/>
      </w:divBdr>
    </w:div>
    <w:div w:id="1866169152">
      <w:bodyDiv w:val="1"/>
      <w:marLeft w:val="0"/>
      <w:marRight w:val="0"/>
      <w:marTop w:val="0"/>
      <w:marBottom w:val="0"/>
      <w:divBdr>
        <w:top w:val="none" w:sz="0" w:space="0" w:color="auto"/>
        <w:left w:val="none" w:sz="0" w:space="0" w:color="auto"/>
        <w:bottom w:val="none" w:sz="0" w:space="0" w:color="auto"/>
        <w:right w:val="none" w:sz="0" w:space="0" w:color="auto"/>
      </w:divBdr>
    </w:div>
    <w:div w:id="1878154720">
      <w:bodyDiv w:val="1"/>
      <w:marLeft w:val="0"/>
      <w:marRight w:val="0"/>
      <w:marTop w:val="0"/>
      <w:marBottom w:val="0"/>
      <w:divBdr>
        <w:top w:val="none" w:sz="0" w:space="0" w:color="auto"/>
        <w:left w:val="none" w:sz="0" w:space="0" w:color="auto"/>
        <w:bottom w:val="none" w:sz="0" w:space="0" w:color="auto"/>
        <w:right w:val="none" w:sz="0" w:space="0" w:color="auto"/>
      </w:divBdr>
    </w:div>
    <w:div w:id="1890024887">
      <w:bodyDiv w:val="1"/>
      <w:marLeft w:val="0"/>
      <w:marRight w:val="0"/>
      <w:marTop w:val="0"/>
      <w:marBottom w:val="0"/>
      <w:divBdr>
        <w:top w:val="none" w:sz="0" w:space="0" w:color="auto"/>
        <w:left w:val="none" w:sz="0" w:space="0" w:color="auto"/>
        <w:bottom w:val="none" w:sz="0" w:space="0" w:color="auto"/>
        <w:right w:val="none" w:sz="0" w:space="0" w:color="auto"/>
      </w:divBdr>
    </w:div>
    <w:div w:id="1907498167">
      <w:bodyDiv w:val="1"/>
      <w:marLeft w:val="0"/>
      <w:marRight w:val="0"/>
      <w:marTop w:val="0"/>
      <w:marBottom w:val="0"/>
      <w:divBdr>
        <w:top w:val="none" w:sz="0" w:space="0" w:color="auto"/>
        <w:left w:val="none" w:sz="0" w:space="0" w:color="auto"/>
        <w:bottom w:val="none" w:sz="0" w:space="0" w:color="auto"/>
        <w:right w:val="none" w:sz="0" w:space="0" w:color="auto"/>
      </w:divBdr>
    </w:div>
    <w:div w:id="1951811764">
      <w:bodyDiv w:val="1"/>
      <w:marLeft w:val="0"/>
      <w:marRight w:val="0"/>
      <w:marTop w:val="0"/>
      <w:marBottom w:val="0"/>
      <w:divBdr>
        <w:top w:val="none" w:sz="0" w:space="0" w:color="auto"/>
        <w:left w:val="none" w:sz="0" w:space="0" w:color="auto"/>
        <w:bottom w:val="none" w:sz="0" w:space="0" w:color="auto"/>
        <w:right w:val="none" w:sz="0" w:space="0" w:color="auto"/>
      </w:divBdr>
    </w:div>
    <w:div w:id="1975912740">
      <w:bodyDiv w:val="1"/>
      <w:marLeft w:val="0"/>
      <w:marRight w:val="0"/>
      <w:marTop w:val="0"/>
      <w:marBottom w:val="0"/>
      <w:divBdr>
        <w:top w:val="none" w:sz="0" w:space="0" w:color="auto"/>
        <w:left w:val="none" w:sz="0" w:space="0" w:color="auto"/>
        <w:bottom w:val="none" w:sz="0" w:space="0" w:color="auto"/>
        <w:right w:val="none" w:sz="0" w:space="0" w:color="auto"/>
      </w:divBdr>
    </w:div>
    <w:div w:id="1978293592">
      <w:bodyDiv w:val="1"/>
      <w:marLeft w:val="0"/>
      <w:marRight w:val="0"/>
      <w:marTop w:val="0"/>
      <w:marBottom w:val="0"/>
      <w:divBdr>
        <w:top w:val="none" w:sz="0" w:space="0" w:color="auto"/>
        <w:left w:val="none" w:sz="0" w:space="0" w:color="auto"/>
        <w:bottom w:val="none" w:sz="0" w:space="0" w:color="auto"/>
        <w:right w:val="none" w:sz="0" w:space="0" w:color="auto"/>
      </w:divBdr>
    </w:div>
    <w:div w:id="2056154833">
      <w:bodyDiv w:val="1"/>
      <w:marLeft w:val="0"/>
      <w:marRight w:val="0"/>
      <w:marTop w:val="0"/>
      <w:marBottom w:val="0"/>
      <w:divBdr>
        <w:top w:val="none" w:sz="0" w:space="0" w:color="auto"/>
        <w:left w:val="none" w:sz="0" w:space="0" w:color="auto"/>
        <w:bottom w:val="none" w:sz="0" w:space="0" w:color="auto"/>
        <w:right w:val="none" w:sz="0" w:space="0" w:color="auto"/>
      </w:divBdr>
    </w:div>
    <w:div w:id="2117552226">
      <w:bodyDiv w:val="1"/>
      <w:marLeft w:val="0"/>
      <w:marRight w:val="0"/>
      <w:marTop w:val="0"/>
      <w:marBottom w:val="0"/>
      <w:divBdr>
        <w:top w:val="none" w:sz="0" w:space="0" w:color="auto"/>
        <w:left w:val="none" w:sz="0" w:space="0" w:color="auto"/>
        <w:bottom w:val="none" w:sz="0" w:space="0" w:color="auto"/>
        <w:right w:val="none" w:sz="0" w:space="0" w:color="auto"/>
      </w:divBdr>
    </w:div>
    <w:div w:id="21237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ccrw.org/fr/coaching-the-skills-for-success-playboo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ccrw.org/fr/initiatives-and-research/research/" TargetMode="External"/><Relationship Id="rId2" Type="http://schemas.openxmlformats.org/officeDocument/2006/relationships/customXml" Target="../customXml/item2.xml"/><Relationship Id="rId16" Type="http://schemas.openxmlformats.org/officeDocument/2006/relationships/hyperlink" Target="https://ccrw.org/wp-content/uploads/2024/05/SFS-Playbook-Accessible_And_Branded_French.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services/emplois/formation/initiatives/competence-reussir.html" TargetMode="Externa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hyperlink" Target="https://toolkit.ccrw.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endnotes.xml.rels><?xml version="1.0" encoding="UTF-8" standalone="yes"?>
<Relationships xmlns="http://schemas.openxmlformats.org/package/2006/relationships"><Relationship Id="rId3" Type="http://schemas.openxmlformats.org/officeDocument/2006/relationships/hyperlink" Target=".%20https:/capd.mit.edu/resources/the-star-method-for-behavioral-interviews" TargetMode="External"/><Relationship Id="rId2" Type="http://schemas.openxmlformats.org/officeDocument/2006/relationships/hyperlink" Target="https://doi.org/10.1007/s10926-018-9756-z" TargetMode="External"/><Relationship Id="rId1" Type="http://schemas.openxmlformats.org/officeDocument/2006/relationships/hyperlink" Target="https://dais.ca/wp-content/uploads/2023/10/I-Human-ONLINE-FA-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ccrworg.sharepoint.com/sites/ResearchTeam/Shared%20Documents/General/Research%20in%20STEAM%20-%20ESDC/Quantitative%20Data/Updated%20STEAM2%20Jobseeker%20Data%20Cleaned%20and%20Deidentifi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a:t>Valeur perçue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Sheet23!$H$2:$L$2</c:f>
              <c:strCache>
                <c:ptCount val="5"/>
                <c:pt idx="0">
                  <c:v>Adaptabilité</c:v>
                </c:pt>
                <c:pt idx="1">
                  <c:v>Collaboration</c:v>
                </c:pt>
                <c:pt idx="2">
                  <c:v>Communication</c:v>
                </c:pt>
                <c:pt idx="3">
                  <c:v>Créativité et innovation</c:v>
                </c:pt>
                <c:pt idx="4">
                  <c:v>Résolution de problèmes</c:v>
                </c:pt>
              </c:strCache>
            </c:strRef>
          </c:cat>
          <c:val>
            <c:numRef>
              <c:f>Sheet23!$H$3:$L$3</c:f>
              <c:numCache>
                <c:formatCode>General</c:formatCode>
                <c:ptCount val="5"/>
                <c:pt idx="0">
                  <c:v>4</c:v>
                </c:pt>
                <c:pt idx="1">
                  <c:v>4.2</c:v>
                </c:pt>
                <c:pt idx="2">
                  <c:v>4.4000000000000004</c:v>
                </c:pt>
                <c:pt idx="3">
                  <c:v>3.6</c:v>
                </c:pt>
                <c:pt idx="4">
                  <c:v>4.3</c:v>
                </c:pt>
              </c:numCache>
            </c:numRef>
          </c:val>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http://schemas.microsoft.com/office/drawing/2014/chart" uri="{C3380CC4-5D6E-409C-BE32-E72D297353CC}">
              <c16:uniqueId val="{00000000-C495-46F5-A16B-54C22255B6CC}"/>
            </c:ext>
          </c:extLst>
        </c:ser>
        <c:dLbls>
          <c:dLblPos val="outEnd"/>
          <c:showLegendKey val="0"/>
          <c:showVal val="1"/>
          <c:showCatName val="0"/>
          <c:showSerName val="0"/>
          <c:showPercent val="0"/>
          <c:showBubbleSize val="0"/>
        </c:dLbls>
        <c:gapWidth val="219"/>
        <c:overlap val="-27"/>
        <c:axId val="837202976"/>
        <c:axId val="837197880"/>
      </c:barChart>
      <c:catAx>
        <c:axId val="83720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37197880"/>
        <c:crosses val="autoZero"/>
        <c:auto val="1"/>
        <c:lblAlgn val="ctr"/>
        <c:lblOffset val="100"/>
        <c:noMultiLvlLbl val="0"/>
      </c:catAx>
      <c:valAx>
        <c:axId val="837197880"/>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202976"/>
        <c:crosses val="autoZero"/>
        <c:crossBetween val="between"/>
        <c:majorUnit val="1"/>
      </c:valAx>
      <c:spPr>
        <a:noFill/>
        <a:ln>
          <a:noFill/>
        </a:ln>
        <a:effectLst/>
      </c:spPr>
    </c:plotArea>
    <c:plotVisOnly val="1"/>
    <c:dispBlanksAs val="gap"/>
    <c:extLst xmlns:c16r3="http://schemas.microsoft.com/office/drawing/2017/03/chart" xmlns:c16="http://schemas.microsoft.com/office/drawing/2014/chart" xmlns:c15="http://schemas.microsoft.com/office/drawing/2012/chart" xmlns:c14="http://schemas.microsoft.com/office/drawing/2007/8/2/chart" xmlns:mc="http://schemas.openxmlformats.org/markup-compatibility/2006">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Confiance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Adaptabilité</c:v>
                </c:pt>
                <c:pt idx="1">
                  <c:v>Collaboration</c:v>
                </c:pt>
                <c:pt idx="2">
                  <c:v>Communication</c:v>
                </c:pt>
                <c:pt idx="3">
                  <c:v>Créativité et innovation </c:v>
                </c:pt>
                <c:pt idx="4">
                  <c:v>Résolution de problèmes</c:v>
                </c:pt>
              </c:strCache>
            </c:strRef>
          </c:cat>
          <c:val>
            <c:numRef>
              <c:f>Sheet1!$B$2:$B$6</c:f>
              <c:numCache>
                <c:formatCode>General</c:formatCode>
                <c:ptCount val="5"/>
                <c:pt idx="0">
                  <c:v>3.7</c:v>
                </c:pt>
                <c:pt idx="1">
                  <c:v>3.8</c:v>
                </c:pt>
                <c:pt idx="2">
                  <c:v>3.8</c:v>
                </c:pt>
                <c:pt idx="3">
                  <c:v>3.8</c:v>
                </c:pt>
                <c:pt idx="4">
                  <c:v>3.8</c:v>
                </c:pt>
              </c:numCache>
            </c:numRef>
          </c:val>
          <c:extLst>
            <c:ext xmlns:c16="http://schemas.microsoft.com/office/drawing/2014/chart" uri="{C3380CC4-5D6E-409C-BE32-E72D297353CC}">
              <c16:uniqueId val="{00000000-8183-4EE0-A1D7-5B6B8EEA50FF}"/>
            </c:ext>
          </c:extLst>
        </c:ser>
        <c:dLbls>
          <c:dLblPos val="outEnd"/>
          <c:showLegendKey val="0"/>
          <c:showVal val="1"/>
          <c:showCatName val="0"/>
          <c:showSerName val="0"/>
          <c:showPercent val="0"/>
          <c:showBubbleSize val="0"/>
        </c:dLbls>
        <c:gapWidth val="219"/>
        <c:overlap val="-27"/>
        <c:axId val="346683871"/>
        <c:axId val="1714184960"/>
      </c:barChart>
      <c:catAx>
        <c:axId val="346683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714184960"/>
        <c:crosses val="autoZero"/>
        <c:auto val="1"/>
        <c:lblAlgn val="ctr"/>
        <c:lblOffset val="100"/>
        <c:noMultiLvlLbl val="0"/>
      </c:catAx>
      <c:valAx>
        <c:axId val="1714184960"/>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683871"/>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Capacité d’adaptation</c:v>
                </c:pt>
              </c:strCache>
            </c:strRef>
          </c:tx>
          <c:spPr>
            <a:ln w="28575" cap="rnd">
              <a:solidFill>
                <a:schemeClr val="accent1"/>
              </a:solidFill>
              <a:round/>
            </a:ln>
            <a:effectLst/>
          </c:spPr>
          <c:marker>
            <c:symbol val="circle"/>
            <c:size val="7"/>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Avant l’apprentissage</c:v>
                </c:pt>
                <c:pt idx="1">
                  <c:v>Après l’apprentissage</c:v>
                </c:pt>
              </c:strCache>
            </c:strRef>
          </c:cat>
          <c:val>
            <c:numRef>
              <c:f>Sheet1!$B$2:$B$3</c:f>
              <c:numCache>
                <c:formatCode>General</c:formatCode>
                <c:ptCount val="2"/>
                <c:pt idx="0">
                  <c:v>72.87</c:v>
                </c:pt>
                <c:pt idx="1">
                  <c:v>90.61</c:v>
                </c:pt>
              </c:numCache>
            </c:numRef>
          </c:val>
          <c:smooth val="0"/>
          <c:extLst>
            <c:ext xmlns:c16="http://schemas.microsoft.com/office/drawing/2014/chart" uri="{C3380CC4-5D6E-409C-BE32-E72D297353CC}">
              <c16:uniqueId val="{00000000-EBFE-44F6-8E48-D3F32C0E1646}"/>
            </c:ext>
          </c:extLst>
        </c:ser>
        <c:dLbls>
          <c:dLblPos val="t"/>
          <c:showLegendKey val="0"/>
          <c:showVal val="1"/>
          <c:showCatName val="0"/>
          <c:showSerName val="0"/>
          <c:showPercent val="0"/>
          <c:showBubbleSize val="0"/>
        </c:dLbls>
        <c:marker val="1"/>
        <c:smooth val="0"/>
        <c:axId val="1202641376"/>
        <c:axId val="1202640896"/>
      </c:lineChart>
      <c:catAx>
        <c:axId val="120264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202640896"/>
        <c:crosses val="autoZero"/>
        <c:auto val="1"/>
        <c:lblAlgn val="ctr"/>
        <c:lblOffset val="100"/>
        <c:noMultiLvlLbl val="0"/>
      </c:catAx>
      <c:valAx>
        <c:axId val="1202640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2641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400"/>
              <a:t>Augmentation</a:t>
            </a:r>
            <a:r>
              <a:rPr lang="en-US" sz="1400" baseline="0"/>
              <a:t> moyenne des comp</a:t>
            </a:r>
            <a:r>
              <a:rPr lang="fr-CA" sz="1400" b="0" i="0" u="none" strike="noStrike" baseline="0">
                <a:effectLst/>
              </a:rPr>
              <a:t>é</a:t>
            </a:r>
            <a:r>
              <a:rPr lang="en-US" sz="1400" baseline="0"/>
              <a:t>tences</a:t>
            </a:r>
            <a:endParaRPr lang="en-US" sz="1400"/>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Skill Score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Avant l’apprentissage</c:v>
                </c:pt>
                <c:pt idx="1">
                  <c:v>Après l’apprentissage</c:v>
                </c:pt>
              </c:strCache>
            </c:strRef>
          </c:cat>
          <c:val>
            <c:numRef>
              <c:f>Sheet1!$B$2:$B$3</c:f>
              <c:numCache>
                <c:formatCode>General</c:formatCode>
                <c:ptCount val="2"/>
                <c:pt idx="0">
                  <c:v>73.7</c:v>
                </c:pt>
                <c:pt idx="1">
                  <c:v>87.6</c:v>
                </c:pt>
              </c:numCache>
            </c:numRef>
          </c:val>
          <c:smooth val="0"/>
          <c:extLst>
            <c:ext xmlns:c16="http://schemas.microsoft.com/office/drawing/2014/chart" uri="{C3380CC4-5D6E-409C-BE32-E72D297353CC}">
              <c16:uniqueId val="{00000000-D705-45EF-9D71-6637DE83ECAE}"/>
            </c:ext>
          </c:extLst>
        </c:ser>
        <c:dLbls>
          <c:dLblPos val="b"/>
          <c:showLegendKey val="0"/>
          <c:showVal val="1"/>
          <c:showCatName val="0"/>
          <c:showSerName val="0"/>
          <c:showPercent val="0"/>
          <c:showBubbleSize val="0"/>
        </c:dLbls>
        <c:marker val="1"/>
        <c:smooth val="0"/>
        <c:axId val="837201800"/>
        <c:axId val="718261384"/>
      </c:lineChart>
      <c:catAx>
        <c:axId val="837201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718261384"/>
        <c:crosses val="autoZero"/>
        <c:auto val="1"/>
        <c:lblAlgn val="ctr"/>
        <c:lblOffset val="100"/>
        <c:noMultiLvlLbl val="0"/>
      </c:catAx>
      <c:valAx>
        <c:axId val="71826138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2018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feb0f6-aa14-4c7f-9fb2-0e7c0c2858a8">
      <Terms xmlns="http://schemas.microsoft.com/office/infopath/2007/PartnerControls"/>
    </lcf76f155ced4ddcb4097134ff3c332f>
    <TaxCatchAll xmlns="f61fc526-369a-4173-9222-99ed8c3bd0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049466ED47D84B82E788DEF7228A87" ma:contentTypeVersion="16" ma:contentTypeDescription="Create a new document." ma:contentTypeScope="" ma:versionID="485d41e16cc84cae7830abf190465b75">
  <xsd:schema xmlns:xsd="http://www.w3.org/2001/XMLSchema" xmlns:xs="http://www.w3.org/2001/XMLSchema" xmlns:p="http://schemas.microsoft.com/office/2006/metadata/properties" xmlns:ns2="81feb0f6-aa14-4c7f-9fb2-0e7c0c2858a8" xmlns:ns3="f61fc526-369a-4173-9222-99ed8c3bd08c" targetNamespace="http://schemas.microsoft.com/office/2006/metadata/properties" ma:root="true" ma:fieldsID="5e9962edc248c551ec377a5525667b78" ns2:_="" ns3:_="">
    <xsd:import namespace="81feb0f6-aa14-4c7f-9fb2-0e7c0c2858a8"/>
    <xsd:import namespace="f61fc526-369a-4173-9222-99ed8c3bd0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eb0f6-aa14-4c7f-9fb2-0e7c0c285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8bad75-d09f-4bfd-a954-b846a31904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fc526-369a-4173-9222-99ed8c3bd0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ff7781b-b04d-47ac-881b-e775e53eafaa}" ma:internalName="TaxCatchAll" ma:showField="CatchAllData" ma:web="f61fc526-369a-4173-9222-99ed8c3bd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91023-91D6-493F-B023-E3FCF2EFACAE}">
  <ds:schemaRefs>
    <ds:schemaRef ds:uri="f61fc526-369a-4173-9222-99ed8c3bd08c"/>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81feb0f6-aa14-4c7f-9fb2-0e7c0c2858a8"/>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740DE185-102E-49B4-A69A-2FD255747CB0}">
  <ds:schemaRefs>
    <ds:schemaRef ds:uri="http://schemas.microsoft.com/sharepoint/v3/contenttype/forms"/>
  </ds:schemaRefs>
</ds:datastoreItem>
</file>

<file path=customXml/itemProps3.xml><?xml version="1.0" encoding="utf-8"?>
<ds:datastoreItem xmlns:ds="http://schemas.openxmlformats.org/officeDocument/2006/customXml" ds:itemID="{F804EC0D-0310-4ABC-95C8-52BF56A4E016}">
  <ds:schemaRefs>
    <ds:schemaRef ds:uri="http://schemas.openxmlformats.org/officeDocument/2006/bibliography"/>
  </ds:schemaRefs>
</ds:datastoreItem>
</file>

<file path=customXml/itemProps4.xml><?xml version="1.0" encoding="utf-8"?>
<ds:datastoreItem xmlns:ds="http://schemas.openxmlformats.org/officeDocument/2006/customXml" ds:itemID="{14D0A81D-5B1A-4CA4-8215-DA4B605E0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eb0f6-aa14-4c7f-9fb2-0e7c0c2858a8"/>
    <ds:schemaRef ds:uri="f61fc526-369a-4173-9222-99ed8c3bd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19</Pages>
  <Words>5012</Words>
  <Characters>30582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Sinclair</dc:creator>
  <cp:keywords>, docId:006538BA3A44EE1D9AC00869A6695952</cp:keywords>
  <dc:description/>
  <cp:lastModifiedBy>Vanessa Sinclair</cp:lastModifiedBy>
  <cp:revision>49</cp:revision>
  <dcterms:created xsi:type="dcterms:W3CDTF">2025-02-17T21:32:00Z</dcterms:created>
  <dcterms:modified xsi:type="dcterms:W3CDTF">2025-03-03T18:12:00Z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0x010100C7049466ED47D84B82E788DEF7228A87</vt:lpwstr>
  </property>
  <property fmtid="{D5CDD505-2E9C-101B-9397-08002B2CF9AE}" pid="3" name="MediaServiceImageTags">
    <vt:lpwstr/>
  </property>
</Properties>
</file>