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97F0B" w14:textId="38E02FB6" w:rsidR="00186665" w:rsidRPr="00613BAD" w:rsidRDefault="00423552" w:rsidP="002527FC">
      <w:pPr>
        <w:pStyle w:val="Heading1"/>
      </w:pPr>
      <w:bookmarkStart w:id="0" w:name="_Toc190080416"/>
      <w:r w:rsidRPr="00613BAD">
        <w:t>Strong Foundations</w:t>
      </w:r>
      <w:r w:rsidR="002527FC">
        <w:t xml:space="preserve">: </w:t>
      </w:r>
      <w:r w:rsidR="005569E1" w:rsidRPr="00613BAD">
        <w:t>Supporting transferable skill development for jobseekers with disabilities</w:t>
      </w:r>
      <w:bookmarkEnd w:id="0"/>
    </w:p>
    <w:p w14:paraId="16C9E8C1" w14:textId="77777777" w:rsidR="00423552" w:rsidRPr="00613BAD" w:rsidRDefault="00423552" w:rsidP="00423552">
      <w:r w:rsidRPr="00613BAD">
        <w:t>February 2025</w:t>
      </w:r>
    </w:p>
    <w:p w14:paraId="442B47E4" w14:textId="0B5C1A15" w:rsidR="00423552" w:rsidRPr="00613BAD" w:rsidRDefault="00423552" w:rsidP="00423552">
      <w:r w:rsidRPr="00613BAD">
        <w:t>Canadian Council on Rehabilitation and Work</w:t>
      </w:r>
    </w:p>
    <w:p w14:paraId="3F9C8826" w14:textId="23CDF985" w:rsidR="00174261" w:rsidRPr="00613BAD" w:rsidRDefault="00B739EE">
      <w:r w:rsidRPr="00613BAD">
        <w:t>This project is funded by the Government of Canada’s Skills for Success Program.</w:t>
      </w:r>
    </w:p>
    <w:p w14:paraId="5A6EDA77" w14:textId="61913AEA" w:rsidR="00423552" w:rsidRPr="00613BAD" w:rsidRDefault="008501D5">
      <w:r>
        <w:br w:type="page"/>
      </w:r>
    </w:p>
    <w:p w14:paraId="3F2C38D4" w14:textId="35A7204D" w:rsidR="00613BAD" w:rsidRPr="00613BAD" w:rsidRDefault="00613BAD" w:rsidP="002527FC">
      <w:pPr>
        <w:pStyle w:val="Heading2"/>
      </w:pPr>
      <w:bookmarkStart w:id="1" w:name="_Toc190080417"/>
      <w:r w:rsidRPr="00613BAD">
        <w:lastRenderedPageBreak/>
        <w:t>Introduction</w:t>
      </w:r>
      <w:bookmarkEnd w:id="1"/>
    </w:p>
    <w:p w14:paraId="3CF976EC" w14:textId="77777777" w:rsidR="00330F23" w:rsidRDefault="00330F23" w:rsidP="00907BFE">
      <w:r w:rsidRPr="00330F23">
        <w:t>Strong Foundations is a guide for employment service providers and career coaches who support jobseekers with disabilities in developing their employment skills.</w:t>
      </w:r>
    </w:p>
    <w:p w14:paraId="4A2D6384" w14:textId="01DA8E9D" w:rsidR="00330F23" w:rsidRDefault="00330F23" w:rsidP="00330F23">
      <w:r>
        <w:t>In 2022, CCRW began developing focused skills training for jobseekers and workers with disabilities. Funded by the Government of Canada’s Skills for Success program, CCRW created an eLearning platform with over 70 trainings, including over 30 focusing on the five transferable skills: adaptability, collaboration, communication, creativity and innovation, and problem solving.</w:t>
      </w:r>
    </w:p>
    <w:p w14:paraId="69D96A10" w14:textId="6B45F374" w:rsidR="00330F23" w:rsidRDefault="00330F23" w:rsidP="00330F23">
      <w:r>
        <w:t>Through 2024, the Research in STEAM (the Skilled Talent Employment Advantage Method) project studied how developing these skills can support people with disabilities in their job search and employment.</w:t>
      </w:r>
    </w:p>
    <w:p w14:paraId="21B066CD" w14:textId="65AFF648" w:rsidR="00330F23" w:rsidRDefault="00330F23">
      <w:r>
        <w:t>Drawing on information gathered from employers, employment services providers, and jobseekers with disabilities, we created this resource to share insights on transferable skills. This includes what these skills are, why they matter, and how to develop them, as well as best practices for service providers on coaching and creating training programs.</w:t>
      </w:r>
    </w:p>
    <w:p w14:paraId="321B57A4" w14:textId="5DFE0711" w:rsidR="008501D5" w:rsidRDefault="008501D5">
      <w:r>
        <w:br w:type="page"/>
      </w:r>
    </w:p>
    <w:p w14:paraId="5F0F671F" w14:textId="02B00F6C" w:rsidR="00517AE8" w:rsidRPr="00613BAD" w:rsidRDefault="00330F23" w:rsidP="002527FC">
      <w:pPr>
        <w:pStyle w:val="Heading3"/>
      </w:pPr>
      <w:r>
        <w:lastRenderedPageBreak/>
        <w:t xml:space="preserve">Table of </w:t>
      </w:r>
      <w:r w:rsidR="00337D76" w:rsidRPr="00613BAD">
        <w:t>Content</w:t>
      </w:r>
      <w:r w:rsidR="007C6A17" w:rsidRPr="00613BAD">
        <w:t>s</w:t>
      </w:r>
    </w:p>
    <w:p w14:paraId="58ABEB24" w14:textId="006C5369" w:rsidR="00B803B1" w:rsidRDefault="00FE1B9B">
      <w:pPr>
        <w:pStyle w:val="TOC1"/>
        <w:tabs>
          <w:tab w:val="right" w:leader="dot" w:pos="9350"/>
        </w:tabs>
        <w:rPr>
          <w:rFonts w:eastAsiaTheme="minorEastAsia"/>
          <w:noProof/>
          <w:sz w:val="24"/>
          <w:szCs w:val="24"/>
        </w:rPr>
      </w:pPr>
      <w:r>
        <w:fldChar w:fldCharType="begin"/>
      </w:r>
      <w:r>
        <w:instrText xml:space="preserve"> TOC \o "1-2" \h \z \u </w:instrText>
      </w:r>
      <w:r>
        <w:fldChar w:fldCharType="separate"/>
      </w:r>
      <w:hyperlink w:anchor="_Toc190080416" w:history="1">
        <w:r w:rsidR="00B803B1" w:rsidRPr="00E40DE7">
          <w:rPr>
            <w:rStyle w:val="Hyperlink"/>
            <w:noProof/>
          </w:rPr>
          <w:t>Strong Foundations: Supporting transferable skill development for jobseekers with disabilities</w:t>
        </w:r>
        <w:r w:rsidR="00B803B1">
          <w:rPr>
            <w:noProof/>
            <w:webHidden/>
          </w:rPr>
          <w:tab/>
        </w:r>
        <w:r w:rsidR="00B803B1">
          <w:rPr>
            <w:noProof/>
            <w:webHidden/>
          </w:rPr>
          <w:fldChar w:fldCharType="begin"/>
        </w:r>
        <w:r w:rsidR="00B803B1">
          <w:rPr>
            <w:noProof/>
            <w:webHidden/>
          </w:rPr>
          <w:instrText xml:space="preserve"> PAGEREF _Toc190080416 \h </w:instrText>
        </w:r>
        <w:r w:rsidR="00B803B1">
          <w:rPr>
            <w:noProof/>
            <w:webHidden/>
          </w:rPr>
        </w:r>
        <w:r w:rsidR="00B803B1">
          <w:rPr>
            <w:noProof/>
            <w:webHidden/>
          </w:rPr>
          <w:fldChar w:fldCharType="separate"/>
        </w:r>
        <w:r w:rsidR="00B803B1">
          <w:rPr>
            <w:noProof/>
            <w:webHidden/>
          </w:rPr>
          <w:t>1</w:t>
        </w:r>
        <w:r w:rsidR="00B803B1">
          <w:rPr>
            <w:noProof/>
            <w:webHidden/>
          </w:rPr>
          <w:fldChar w:fldCharType="end"/>
        </w:r>
      </w:hyperlink>
    </w:p>
    <w:p w14:paraId="56689779" w14:textId="708DDC6D" w:rsidR="00B803B1" w:rsidRDefault="00B803B1">
      <w:pPr>
        <w:pStyle w:val="TOC2"/>
        <w:tabs>
          <w:tab w:val="right" w:leader="dot" w:pos="9350"/>
        </w:tabs>
        <w:rPr>
          <w:rFonts w:eastAsiaTheme="minorEastAsia"/>
          <w:noProof/>
          <w:sz w:val="24"/>
          <w:szCs w:val="24"/>
        </w:rPr>
      </w:pPr>
      <w:hyperlink w:anchor="_Toc190080417" w:history="1">
        <w:r w:rsidRPr="00E40DE7">
          <w:rPr>
            <w:rStyle w:val="Hyperlink"/>
            <w:noProof/>
          </w:rPr>
          <w:t>Introduction</w:t>
        </w:r>
        <w:r>
          <w:rPr>
            <w:noProof/>
            <w:webHidden/>
          </w:rPr>
          <w:tab/>
        </w:r>
        <w:r>
          <w:rPr>
            <w:noProof/>
            <w:webHidden/>
          </w:rPr>
          <w:fldChar w:fldCharType="begin"/>
        </w:r>
        <w:r>
          <w:rPr>
            <w:noProof/>
            <w:webHidden/>
          </w:rPr>
          <w:instrText xml:space="preserve"> PAGEREF _Toc190080417 \h </w:instrText>
        </w:r>
        <w:r>
          <w:rPr>
            <w:noProof/>
            <w:webHidden/>
          </w:rPr>
        </w:r>
        <w:r>
          <w:rPr>
            <w:noProof/>
            <w:webHidden/>
          </w:rPr>
          <w:fldChar w:fldCharType="separate"/>
        </w:r>
        <w:r>
          <w:rPr>
            <w:noProof/>
            <w:webHidden/>
          </w:rPr>
          <w:t>2</w:t>
        </w:r>
        <w:r>
          <w:rPr>
            <w:noProof/>
            <w:webHidden/>
          </w:rPr>
          <w:fldChar w:fldCharType="end"/>
        </w:r>
      </w:hyperlink>
    </w:p>
    <w:p w14:paraId="0587DD2B" w14:textId="41C1279A" w:rsidR="00B803B1" w:rsidRDefault="00B803B1">
      <w:pPr>
        <w:pStyle w:val="TOC2"/>
        <w:tabs>
          <w:tab w:val="right" w:leader="dot" w:pos="9350"/>
        </w:tabs>
        <w:rPr>
          <w:rFonts w:eastAsiaTheme="minorEastAsia"/>
          <w:noProof/>
          <w:sz w:val="24"/>
          <w:szCs w:val="24"/>
        </w:rPr>
      </w:pPr>
      <w:hyperlink w:anchor="_Toc190080418" w:history="1">
        <w:r w:rsidRPr="00E40DE7">
          <w:rPr>
            <w:rStyle w:val="Hyperlink"/>
            <w:noProof/>
          </w:rPr>
          <w:t>What are transferable skills?</w:t>
        </w:r>
        <w:r>
          <w:rPr>
            <w:noProof/>
            <w:webHidden/>
          </w:rPr>
          <w:tab/>
        </w:r>
        <w:r>
          <w:rPr>
            <w:noProof/>
            <w:webHidden/>
          </w:rPr>
          <w:fldChar w:fldCharType="begin"/>
        </w:r>
        <w:r>
          <w:rPr>
            <w:noProof/>
            <w:webHidden/>
          </w:rPr>
          <w:instrText xml:space="preserve"> PAGEREF _Toc190080418 \h </w:instrText>
        </w:r>
        <w:r>
          <w:rPr>
            <w:noProof/>
            <w:webHidden/>
          </w:rPr>
        </w:r>
        <w:r>
          <w:rPr>
            <w:noProof/>
            <w:webHidden/>
          </w:rPr>
          <w:fldChar w:fldCharType="separate"/>
        </w:r>
        <w:r>
          <w:rPr>
            <w:noProof/>
            <w:webHidden/>
          </w:rPr>
          <w:t>4</w:t>
        </w:r>
        <w:r>
          <w:rPr>
            <w:noProof/>
            <w:webHidden/>
          </w:rPr>
          <w:fldChar w:fldCharType="end"/>
        </w:r>
      </w:hyperlink>
    </w:p>
    <w:p w14:paraId="483C76CA" w14:textId="7B64B22F" w:rsidR="00B803B1" w:rsidRDefault="00B803B1">
      <w:pPr>
        <w:pStyle w:val="TOC2"/>
        <w:tabs>
          <w:tab w:val="right" w:leader="dot" w:pos="9350"/>
        </w:tabs>
        <w:rPr>
          <w:rFonts w:eastAsiaTheme="minorEastAsia"/>
          <w:noProof/>
          <w:sz w:val="24"/>
          <w:szCs w:val="24"/>
        </w:rPr>
      </w:pPr>
      <w:hyperlink w:anchor="_Toc190080419" w:history="1">
        <w:r w:rsidRPr="00E40DE7">
          <w:rPr>
            <w:rStyle w:val="Hyperlink"/>
            <w:noProof/>
          </w:rPr>
          <w:t>Why are transferable skills important?</w:t>
        </w:r>
        <w:r>
          <w:rPr>
            <w:noProof/>
            <w:webHidden/>
          </w:rPr>
          <w:tab/>
        </w:r>
        <w:r>
          <w:rPr>
            <w:noProof/>
            <w:webHidden/>
          </w:rPr>
          <w:fldChar w:fldCharType="begin"/>
        </w:r>
        <w:r>
          <w:rPr>
            <w:noProof/>
            <w:webHidden/>
          </w:rPr>
          <w:instrText xml:space="preserve"> PAGEREF _Toc190080419 \h </w:instrText>
        </w:r>
        <w:r>
          <w:rPr>
            <w:noProof/>
            <w:webHidden/>
          </w:rPr>
        </w:r>
        <w:r>
          <w:rPr>
            <w:noProof/>
            <w:webHidden/>
          </w:rPr>
          <w:fldChar w:fldCharType="separate"/>
        </w:r>
        <w:r>
          <w:rPr>
            <w:noProof/>
            <w:webHidden/>
          </w:rPr>
          <w:t>5</w:t>
        </w:r>
        <w:r>
          <w:rPr>
            <w:noProof/>
            <w:webHidden/>
          </w:rPr>
          <w:fldChar w:fldCharType="end"/>
        </w:r>
      </w:hyperlink>
    </w:p>
    <w:p w14:paraId="52A5F7C0" w14:textId="00106C13" w:rsidR="00B803B1" w:rsidRDefault="00B803B1">
      <w:pPr>
        <w:pStyle w:val="TOC2"/>
        <w:tabs>
          <w:tab w:val="right" w:leader="dot" w:pos="9350"/>
        </w:tabs>
        <w:rPr>
          <w:rFonts w:eastAsiaTheme="minorEastAsia"/>
          <w:noProof/>
          <w:sz w:val="24"/>
          <w:szCs w:val="24"/>
        </w:rPr>
      </w:pPr>
      <w:hyperlink w:anchor="_Toc190080420" w:history="1">
        <w:r w:rsidRPr="00E40DE7">
          <w:rPr>
            <w:rStyle w:val="Hyperlink"/>
            <w:noProof/>
          </w:rPr>
          <w:t>Insight 1: Strong communication skills are critical.</w:t>
        </w:r>
        <w:r>
          <w:rPr>
            <w:noProof/>
            <w:webHidden/>
          </w:rPr>
          <w:tab/>
        </w:r>
        <w:r>
          <w:rPr>
            <w:noProof/>
            <w:webHidden/>
          </w:rPr>
          <w:fldChar w:fldCharType="begin"/>
        </w:r>
        <w:r>
          <w:rPr>
            <w:noProof/>
            <w:webHidden/>
          </w:rPr>
          <w:instrText xml:space="preserve"> PAGEREF _Toc190080420 \h </w:instrText>
        </w:r>
        <w:r>
          <w:rPr>
            <w:noProof/>
            <w:webHidden/>
          </w:rPr>
        </w:r>
        <w:r>
          <w:rPr>
            <w:noProof/>
            <w:webHidden/>
          </w:rPr>
          <w:fldChar w:fldCharType="separate"/>
        </w:r>
        <w:r>
          <w:rPr>
            <w:noProof/>
            <w:webHidden/>
          </w:rPr>
          <w:t>7</w:t>
        </w:r>
        <w:r>
          <w:rPr>
            <w:noProof/>
            <w:webHidden/>
          </w:rPr>
          <w:fldChar w:fldCharType="end"/>
        </w:r>
      </w:hyperlink>
    </w:p>
    <w:p w14:paraId="441E6ED2" w14:textId="4354A7AE" w:rsidR="00B803B1" w:rsidRDefault="00B803B1">
      <w:pPr>
        <w:pStyle w:val="TOC2"/>
        <w:tabs>
          <w:tab w:val="right" w:leader="dot" w:pos="9350"/>
        </w:tabs>
        <w:rPr>
          <w:rFonts w:eastAsiaTheme="minorEastAsia"/>
          <w:noProof/>
          <w:sz w:val="24"/>
          <w:szCs w:val="24"/>
        </w:rPr>
      </w:pPr>
      <w:hyperlink w:anchor="_Toc190080421" w:history="1">
        <w:r w:rsidRPr="00E40DE7">
          <w:rPr>
            <w:rStyle w:val="Hyperlink"/>
            <w:noProof/>
          </w:rPr>
          <w:t>Insight 2: Workers with disabilities have a variety of strengths that benefit workplaces.</w:t>
        </w:r>
        <w:r>
          <w:rPr>
            <w:noProof/>
            <w:webHidden/>
          </w:rPr>
          <w:tab/>
        </w:r>
        <w:r>
          <w:rPr>
            <w:noProof/>
            <w:webHidden/>
          </w:rPr>
          <w:fldChar w:fldCharType="begin"/>
        </w:r>
        <w:r>
          <w:rPr>
            <w:noProof/>
            <w:webHidden/>
          </w:rPr>
          <w:instrText xml:space="preserve"> PAGEREF _Toc190080421 \h </w:instrText>
        </w:r>
        <w:r>
          <w:rPr>
            <w:noProof/>
            <w:webHidden/>
          </w:rPr>
        </w:r>
        <w:r>
          <w:rPr>
            <w:noProof/>
            <w:webHidden/>
          </w:rPr>
          <w:fldChar w:fldCharType="separate"/>
        </w:r>
        <w:r>
          <w:rPr>
            <w:noProof/>
            <w:webHidden/>
          </w:rPr>
          <w:t>8</w:t>
        </w:r>
        <w:r>
          <w:rPr>
            <w:noProof/>
            <w:webHidden/>
          </w:rPr>
          <w:fldChar w:fldCharType="end"/>
        </w:r>
      </w:hyperlink>
    </w:p>
    <w:p w14:paraId="5E8E419C" w14:textId="29ED1D05" w:rsidR="00B803B1" w:rsidRDefault="00B803B1">
      <w:pPr>
        <w:pStyle w:val="TOC2"/>
        <w:tabs>
          <w:tab w:val="right" w:leader="dot" w:pos="9350"/>
        </w:tabs>
        <w:rPr>
          <w:rFonts w:eastAsiaTheme="minorEastAsia"/>
          <w:noProof/>
          <w:sz w:val="24"/>
          <w:szCs w:val="24"/>
        </w:rPr>
      </w:pPr>
      <w:hyperlink w:anchor="_Toc190080422" w:history="1">
        <w:r w:rsidRPr="00E40DE7">
          <w:rPr>
            <w:rStyle w:val="Hyperlink"/>
            <w:noProof/>
          </w:rPr>
          <w:t>Insight 3: Creativity &amp; innovation are underrecognized strengths.</w:t>
        </w:r>
        <w:r>
          <w:rPr>
            <w:noProof/>
            <w:webHidden/>
          </w:rPr>
          <w:tab/>
        </w:r>
        <w:r>
          <w:rPr>
            <w:noProof/>
            <w:webHidden/>
          </w:rPr>
          <w:fldChar w:fldCharType="begin"/>
        </w:r>
        <w:r>
          <w:rPr>
            <w:noProof/>
            <w:webHidden/>
          </w:rPr>
          <w:instrText xml:space="preserve"> PAGEREF _Toc190080422 \h </w:instrText>
        </w:r>
        <w:r>
          <w:rPr>
            <w:noProof/>
            <w:webHidden/>
          </w:rPr>
        </w:r>
        <w:r>
          <w:rPr>
            <w:noProof/>
            <w:webHidden/>
          </w:rPr>
          <w:fldChar w:fldCharType="separate"/>
        </w:r>
        <w:r>
          <w:rPr>
            <w:noProof/>
            <w:webHidden/>
          </w:rPr>
          <w:t>11</w:t>
        </w:r>
        <w:r>
          <w:rPr>
            <w:noProof/>
            <w:webHidden/>
          </w:rPr>
          <w:fldChar w:fldCharType="end"/>
        </w:r>
      </w:hyperlink>
    </w:p>
    <w:p w14:paraId="1277D6EA" w14:textId="0B74966C" w:rsidR="00B803B1" w:rsidRDefault="00B803B1">
      <w:pPr>
        <w:pStyle w:val="TOC2"/>
        <w:tabs>
          <w:tab w:val="right" w:leader="dot" w:pos="9350"/>
        </w:tabs>
        <w:rPr>
          <w:rFonts w:eastAsiaTheme="minorEastAsia"/>
          <w:noProof/>
          <w:sz w:val="24"/>
          <w:szCs w:val="24"/>
        </w:rPr>
      </w:pPr>
      <w:hyperlink w:anchor="_Toc190080423" w:history="1">
        <w:r w:rsidRPr="00E40DE7">
          <w:rPr>
            <w:rStyle w:val="Hyperlink"/>
            <w:noProof/>
          </w:rPr>
          <w:t>How can service providers support transferable skill development?</w:t>
        </w:r>
        <w:r>
          <w:rPr>
            <w:noProof/>
            <w:webHidden/>
          </w:rPr>
          <w:tab/>
        </w:r>
        <w:r>
          <w:rPr>
            <w:noProof/>
            <w:webHidden/>
          </w:rPr>
          <w:fldChar w:fldCharType="begin"/>
        </w:r>
        <w:r>
          <w:rPr>
            <w:noProof/>
            <w:webHidden/>
          </w:rPr>
          <w:instrText xml:space="preserve"> PAGEREF _Toc190080423 \h </w:instrText>
        </w:r>
        <w:r>
          <w:rPr>
            <w:noProof/>
            <w:webHidden/>
          </w:rPr>
        </w:r>
        <w:r>
          <w:rPr>
            <w:noProof/>
            <w:webHidden/>
          </w:rPr>
          <w:fldChar w:fldCharType="separate"/>
        </w:r>
        <w:r>
          <w:rPr>
            <w:noProof/>
            <w:webHidden/>
          </w:rPr>
          <w:t>12</w:t>
        </w:r>
        <w:r>
          <w:rPr>
            <w:noProof/>
            <w:webHidden/>
          </w:rPr>
          <w:fldChar w:fldCharType="end"/>
        </w:r>
      </w:hyperlink>
    </w:p>
    <w:p w14:paraId="1A7C8F4D" w14:textId="10B47EF1" w:rsidR="00B803B1" w:rsidRDefault="00B803B1">
      <w:pPr>
        <w:pStyle w:val="TOC2"/>
        <w:tabs>
          <w:tab w:val="right" w:leader="dot" w:pos="9350"/>
        </w:tabs>
        <w:rPr>
          <w:rFonts w:eastAsiaTheme="minorEastAsia"/>
          <w:noProof/>
          <w:sz w:val="24"/>
          <w:szCs w:val="24"/>
        </w:rPr>
      </w:pPr>
      <w:hyperlink w:anchor="_Toc190080424" w:history="1">
        <w:r w:rsidRPr="00E40DE7">
          <w:rPr>
            <w:rStyle w:val="Hyperlink"/>
            <w:noProof/>
          </w:rPr>
          <w:t>Recommendation 1: Implement effective, accessible skills training curricula.</w:t>
        </w:r>
        <w:r>
          <w:rPr>
            <w:noProof/>
            <w:webHidden/>
          </w:rPr>
          <w:tab/>
        </w:r>
        <w:r>
          <w:rPr>
            <w:noProof/>
            <w:webHidden/>
          </w:rPr>
          <w:fldChar w:fldCharType="begin"/>
        </w:r>
        <w:r>
          <w:rPr>
            <w:noProof/>
            <w:webHidden/>
          </w:rPr>
          <w:instrText xml:space="preserve"> PAGEREF _Toc190080424 \h </w:instrText>
        </w:r>
        <w:r>
          <w:rPr>
            <w:noProof/>
            <w:webHidden/>
          </w:rPr>
        </w:r>
        <w:r>
          <w:rPr>
            <w:noProof/>
            <w:webHidden/>
          </w:rPr>
          <w:fldChar w:fldCharType="separate"/>
        </w:r>
        <w:r>
          <w:rPr>
            <w:noProof/>
            <w:webHidden/>
          </w:rPr>
          <w:t>13</w:t>
        </w:r>
        <w:r>
          <w:rPr>
            <w:noProof/>
            <w:webHidden/>
          </w:rPr>
          <w:fldChar w:fldCharType="end"/>
        </w:r>
      </w:hyperlink>
    </w:p>
    <w:p w14:paraId="37922A9B" w14:textId="0233D931" w:rsidR="00B803B1" w:rsidRDefault="00B803B1">
      <w:pPr>
        <w:pStyle w:val="TOC2"/>
        <w:tabs>
          <w:tab w:val="right" w:leader="dot" w:pos="9350"/>
        </w:tabs>
        <w:rPr>
          <w:rFonts w:eastAsiaTheme="minorEastAsia"/>
          <w:noProof/>
          <w:sz w:val="24"/>
          <w:szCs w:val="24"/>
        </w:rPr>
      </w:pPr>
      <w:hyperlink w:anchor="_Toc190080425" w:history="1">
        <w:r w:rsidRPr="00E40DE7">
          <w:rPr>
            <w:rStyle w:val="Hyperlink"/>
            <w:noProof/>
          </w:rPr>
          <w:t>Recommendation 2: Support jobseekers to recognize and show their strengths.</w:t>
        </w:r>
        <w:r>
          <w:rPr>
            <w:noProof/>
            <w:webHidden/>
          </w:rPr>
          <w:tab/>
        </w:r>
        <w:r>
          <w:rPr>
            <w:noProof/>
            <w:webHidden/>
          </w:rPr>
          <w:fldChar w:fldCharType="begin"/>
        </w:r>
        <w:r>
          <w:rPr>
            <w:noProof/>
            <w:webHidden/>
          </w:rPr>
          <w:instrText xml:space="preserve"> PAGEREF _Toc190080425 \h </w:instrText>
        </w:r>
        <w:r>
          <w:rPr>
            <w:noProof/>
            <w:webHidden/>
          </w:rPr>
        </w:r>
        <w:r>
          <w:rPr>
            <w:noProof/>
            <w:webHidden/>
          </w:rPr>
          <w:fldChar w:fldCharType="separate"/>
        </w:r>
        <w:r>
          <w:rPr>
            <w:noProof/>
            <w:webHidden/>
          </w:rPr>
          <w:t>15</w:t>
        </w:r>
        <w:r>
          <w:rPr>
            <w:noProof/>
            <w:webHidden/>
          </w:rPr>
          <w:fldChar w:fldCharType="end"/>
        </w:r>
      </w:hyperlink>
    </w:p>
    <w:p w14:paraId="7D794788" w14:textId="5263B114" w:rsidR="00B803B1" w:rsidRDefault="00B803B1">
      <w:pPr>
        <w:pStyle w:val="TOC2"/>
        <w:tabs>
          <w:tab w:val="right" w:leader="dot" w:pos="9350"/>
        </w:tabs>
        <w:rPr>
          <w:rFonts w:eastAsiaTheme="minorEastAsia"/>
          <w:noProof/>
          <w:sz w:val="24"/>
          <w:szCs w:val="24"/>
        </w:rPr>
      </w:pPr>
      <w:hyperlink w:anchor="_Toc190080426" w:history="1">
        <w:r w:rsidRPr="00E40DE7">
          <w:rPr>
            <w:rStyle w:val="Hyperlink"/>
            <w:noProof/>
          </w:rPr>
          <w:t>Recommendation 3: Educate and advocate to undo misconceptions and promote disability-inclusive work.</w:t>
        </w:r>
        <w:r>
          <w:rPr>
            <w:noProof/>
            <w:webHidden/>
          </w:rPr>
          <w:tab/>
        </w:r>
        <w:r>
          <w:rPr>
            <w:noProof/>
            <w:webHidden/>
          </w:rPr>
          <w:fldChar w:fldCharType="begin"/>
        </w:r>
        <w:r>
          <w:rPr>
            <w:noProof/>
            <w:webHidden/>
          </w:rPr>
          <w:instrText xml:space="preserve"> PAGEREF _Toc190080426 \h </w:instrText>
        </w:r>
        <w:r>
          <w:rPr>
            <w:noProof/>
            <w:webHidden/>
          </w:rPr>
        </w:r>
        <w:r>
          <w:rPr>
            <w:noProof/>
            <w:webHidden/>
          </w:rPr>
          <w:fldChar w:fldCharType="separate"/>
        </w:r>
        <w:r>
          <w:rPr>
            <w:noProof/>
            <w:webHidden/>
          </w:rPr>
          <w:t>16</w:t>
        </w:r>
        <w:r>
          <w:rPr>
            <w:noProof/>
            <w:webHidden/>
          </w:rPr>
          <w:fldChar w:fldCharType="end"/>
        </w:r>
      </w:hyperlink>
    </w:p>
    <w:p w14:paraId="30BA3AB2" w14:textId="64E8F187" w:rsidR="00B803B1" w:rsidRDefault="00B803B1">
      <w:pPr>
        <w:pStyle w:val="TOC2"/>
        <w:tabs>
          <w:tab w:val="right" w:leader="dot" w:pos="9350"/>
        </w:tabs>
        <w:rPr>
          <w:rFonts w:eastAsiaTheme="minorEastAsia"/>
          <w:noProof/>
          <w:sz w:val="24"/>
          <w:szCs w:val="24"/>
        </w:rPr>
      </w:pPr>
      <w:hyperlink w:anchor="_Toc190080427" w:history="1">
        <w:r w:rsidRPr="00E40DE7">
          <w:rPr>
            <w:rStyle w:val="Hyperlink"/>
            <w:noProof/>
          </w:rPr>
          <w:t>Other Resources</w:t>
        </w:r>
        <w:r>
          <w:rPr>
            <w:noProof/>
            <w:webHidden/>
          </w:rPr>
          <w:tab/>
        </w:r>
        <w:r>
          <w:rPr>
            <w:noProof/>
            <w:webHidden/>
          </w:rPr>
          <w:fldChar w:fldCharType="begin"/>
        </w:r>
        <w:r>
          <w:rPr>
            <w:noProof/>
            <w:webHidden/>
          </w:rPr>
          <w:instrText xml:space="preserve"> PAGEREF _Toc190080427 \h </w:instrText>
        </w:r>
        <w:r>
          <w:rPr>
            <w:noProof/>
            <w:webHidden/>
          </w:rPr>
        </w:r>
        <w:r>
          <w:rPr>
            <w:noProof/>
            <w:webHidden/>
          </w:rPr>
          <w:fldChar w:fldCharType="separate"/>
        </w:r>
        <w:r>
          <w:rPr>
            <w:noProof/>
            <w:webHidden/>
          </w:rPr>
          <w:t>17</w:t>
        </w:r>
        <w:r>
          <w:rPr>
            <w:noProof/>
            <w:webHidden/>
          </w:rPr>
          <w:fldChar w:fldCharType="end"/>
        </w:r>
      </w:hyperlink>
    </w:p>
    <w:p w14:paraId="736A961A" w14:textId="7DEE188B" w:rsidR="00B803B1" w:rsidRDefault="00B803B1">
      <w:pPr>
        <w:pStyle w:val="TOC2"/>
        <w:tabs>
          <w:tab w:val="right" w:leader="dot" w:pos="9350"/>
        </w:tabs>
        <w:rPr>
          <w:rFonts w:eastAsiaTheme="minorEastAsia"/>
          <w:noProof/>
          <w:sz w:val="24"/>
          <w:szCs w:val="24"/>
        </w:rPr>
      </w:pPr>
      <w:hyperlink w:anchor="_Toc190080428" w:history="1">
        <w:r w:rsidRPr="00E40DE7">
          <w:rPr>
            <w:rStyle w:val="Hyperlink"/>
            <w:noProof/>
          </w:rPr>
          <w:t>References</w:t>
        </w:r>
        <w:r>
          <w:rPr>
            <w:noProof/>
            <w:webHidden/>
          </w:rPr>
          <w:tab/>
        </w:r>
        <w:r>
          <w:rPr>
            <w:noProof/>
            <w:webHidden/>
          </w:rPr>
          <w:fldChar w:fldCharType="begin"/>
        </w:r>
        <w:r>
          <w:rPr>
            <w:noProof/>
            <w:webHidden/>
          </w:rPr>
          <w:instrText xml:space="preserve"> PAGEREF _Toc190080428 \h </w:instrText>
        </w:r>
        <w:r>
          <w:rPr>
            <w:noProof/>
            <w:webHidden/>
          </w:rPr>
        </w:r>
        <w:r>
          <w:rPr>
            <w:noProof/>
            <w:webHidden/>
          </w:rPr>
          <w:fldChar w:fldCharType="separate"/>
        </w:r>
        <w:r>
          <w:rPr>
            <w:noProof/>
            <w:webHidden/>
          </w:rPr>
          <w:t>18</w:t>
        </w:r>
        <w:r>
          <w:rPr>
            <w:noProof/>
            <w:webHidden/>
          </w:rPr>
          <w:fldChar w:fldCharType="end"/>
        </w:r>
      </w:hyperlink>
    </w:p>
    <w:p w14:paraId="5CC0FBA6" w14:textId="5B0D62AC" w:rsidR="008501D5" w:rsidRDefault="00FE1B9B" w:rsidP="008501D5">
      <w:pPr>
        <w:pStyle w:val="TOC2"/>
        <w:tabs>
          <w:tab w:val="right" w:pos="9350"/>
        </w:tabs>
      </w:pPr>
      <w:r>
        <w:fldChar w:fldCharType="end"/>
      </w:r>
    </w:p>
    <w:p w14:paraId="11CDBA8A" w14:textId="77777777" w:rsidR="008501D5" w:rsidRDefault="008501D5">
      <w:r>
        <w:br w:type="page"/>
      </w:r>
    </w:p>
    <w:p w14:paraId="08F0D558" w14:textId="4B39FB9F" w:rsidR="007D4BB3" w:rsidRPr="00613BAD" w:rsidRDefault="007D4BB3" w:rsidP="005B3B8B">
      <w:pPr>
        <w:pStyle w:val="Heading2"/>
      </w:pPr>
      <w:bookmarkStart w:id="2" w:name="_Toc190080418"/>
      <w:r w:rsidRPr="00613BAD">
        <w:lastRenderedPageBreak/>
        <w:t xml:space="preserve">What are </w:t>
      </w:r>
      <w:r w:rsidR="00EF3DE1" w:rsidRPr="00613BAD">
        <w:t>t</w:t>
      </w:r>
      <w:r w:rsidR="009009DA" w:rsidRPr="00613BAD">
        <w:t>r</w:t>
      </w:r>
      <w:r w:rsidRPr="00613BAD">
        <w:t xml:space="preserve">ansferable </w:t>
      </w:r>
      <w:r w:rsidR="00EF3DE1" w:rsidRPr="00613BAD">
        <w:t>s</w:t>
      </w:r>
      <w:r w:rsidRPr="00613BAD">
        <w:t>kills?</w:t>
      </w:r>
      <w:bookmarkEnd w:id="2"/>
    </w:p>
    <w:p w14:paraId="3BE1F8F6" w14:textId="5E60DB91" w:rsidR="00D0042A" w:rsidRDefault="005B3B8B" w:rsidP="00F718DC">
      <w:r w:rsidRPr="005B3B8B">
        <w:t>Transferable skills, sometimes called soft skills or socioemotional skills, involve thinking, creating, and interacting with others. Transferable skills are core competencies, meaning they are not specific to a particular industry, sector, role, or workplace. They are applicable to any employment setting and to daily life.</w:t>
      </w:r>
    </w:p>
    <w:p w14:paraId="193272D4" w14:textId="30337397" w:rsidR="005B3B8B" w:rsidRPr="00613BAD" w:rsidRDefault="005B3B8B" w:rsidP="00F718DC">
      <w:r w:rsidRPr="005B3B8B">
        <w:t xml:space="preserve">In the </w:t>
      </w:r>
      <w:hyperlink r:id="rId11" w:history="1">
        <w:r w:rsidRPr="00EC6B23">
          <w:rPr>
            <w:rStyle w:val="Hyperlink"/>
          </w:rPr>
          <w:t>Skills for Success</w:t>
        </w:r>
      </w:hyperlink>
      <w:r w:rsidRPr="005B3B8B">
        <w:t xml:space="preserve"> model, the five transferable skills are adaptability, collaboration, communication, creativity &amp; innovation, and problem solving.</w:t>
      </w:r>
    </w:p>
    <w:p w14:paraId="420116A1" w14:textId="291BBFC4" w:rsidR="00F6673D" w:rsidRPr="00613BAD" w:rsidRDefault="00F6673D" w:rsidP="00F6673D">
      <w:r w:rsidRPr="00613BAD">
        <w:t>Adaptability</w:t>
      </w:r>
      <w:r w:rsidR="0057106B" w:rsidRPr="00613BAD">
        <w:t xml:space="preserve"> is </w:t>
      </w:r>
      <w:r w:rsidR="00467490" w:rsidRPr="00613BAD">
        <w:t xml:space="preserve">the ability to adjust to new situations and persist through setbacks. </w:t>
      </w:r>
    </w:p>
    <w:p w14:paraId="67745A59" w14:textId="4528392B" w:rsidR="00F6673D" w:rsidRPr="00613BAD" w:rsidRDefault="00F6673D" w:rsidP="00F6673D">
      <w:r w:rsidRPr="00613BAD">
        <w:t>Collaboration</w:t>
      </w:r>
      <w:r w:rsidR="0057106B" w:rsidRPr="00613BAD">
        <w:t xml:space="preserve"> is</w:t>
      </w:r>
      <w:r w:rsidR="0069419F" w:rsidRPr="00613BAD">
        <w:t xml:space="preserve"> the ability to work well with others towards shared goals.</w:t>
      </w:r>
    </w:p>
    <w:p w14:paraId="3E389D78" w14:textId="52BD3359" w:rsidR="00F6673D" w:rsidRPr="00613BAD" w:rsidRDefault="00F6673D" w:rsidP="00F6673D">
      <w:r w:rsidRPr="00613BAD">
        <w:t>Communication</w:t>
      </w:r>
      <w:r w:rsidR="0057106B" w:rsidRPr="00613BAD">
        <w:t xml:space="preserve"> is</w:t>
      </w:r>
      <w:r w:rsidR="0069419F" w:rsidRPr="00613BAD">
        <w:t xml:space="preserve"> the ability to receive and share information clearly with others.</w:t>
      </w:r>
    </w:p>
    <w:p w14:paraId="0AB3CB2E" w14:textId="02DBA875" w:rsidR="00F6673D" w:rsidRPr="00613BAD" w:rsidRDefault="00F6673D" w:rsidP="00F6673D">
      <w:r w:rsidRPr="00613BAD">
        <w:t>Creativity &amp; Innovation</w:t>
      </w:r>
      <w:r w:rsidR="0057106B" w:rsidRPr="00613BAD">
        <w:t xml:space="preserve"> is </w:t>
      </w:r>
      <w:r w:rsidR="009A58D2" w:rsidRPr="00613BAD">
        <w:t>the ability to create and implement new ideas.</w:t>
      </w:r>
    </w:p>
    <w:p w14:paraId="2A146159" w14:textId="2C54172E" w:rsidR="00F6673D" w:rsidRPr="00613BAD" w:rsidRDefault="00F6673D" w:rsidP="00F6673D">
      <w:r w:rsidRPr="00613BAD">
        <w:t>Problem Solving</w:t>
      </w:r>
      <w:r w:rsidR="0057106B" w:rsidRPr="00613BAD">
        <w:t xml:space="preserve"> is</w:t>
      </w:r>
      <w:r w:rsidR="00437AD7" w:rsidRPr="00613BAD">
        <w:t xml:space="preserve"> the ability to </w:t>
      </w:r>
      <w:r w:rsidR="00DE4057" w:rsidRPr="00613BAD">
        <w:t>identify issues and find effective solutions.</w:t>
      </w:r>
    </w:p>
    <w:p w14:paraId="69D6BB29" w14:textId="77777777" w:rsidR="00DE4057" w:rsidRPr="00613BAD" w:rsidRDefault="00DE4057" w:rsidP="00F6673D"/>
    <w:p w14:paraId="1FA7A71C" w14:textId="12A0D8CD" w:rsidR="008B14AA" w:rsidRDefault="00EC6B23">
      <w:r w:rsidRPr="00EC6B23">
        <w:t>These five areas are each unique skillsets that cover a range of cognitive, social, and emotional abilities. They interact and build on each other to support success across the employment lifecycle.</w:t>
      </w:r>
    </w:p>
    <w:p w14:paraId="259CC75D" w14:textId="3ABF0091" w:rsidR="008501D5" w:rsidRDefault="008501D5">
      <w:r>
        <w:br w:type="page"/>
      </w:r>
    </w:p>
    <w:p w14:paraId="782CC226" w14:textId="0AFD3612" w:rsidR="00A451BC" w:rsidRDefault="00A451BC" w:rsidP="002B28DD">
      <w:pPr>
        <w:pStyle w:val="Heading2"/>
      </w:pPr>
      <w:bookmarkStart w:id="3" w:name="_Toc190080419"/>
      <w:r w:rsidRPr="00613BAD">
        <w:lastRenderedPageBreak/>
        <w:t xml:space="preserve">Why </w:t>
      </w:r>
      <w:r w:rsidR="009009DA" w:rsidRPr="00613BAD">
        <w:t xml:space="preserve">are </w:t>
      </w:r>
      <w:r w:rsidR="00576421" w:rsidRPr="00613BAD">
        <w:t>t</w:t>
      </w:r>
      <w:r w:rsidR="009009DA" w:rsidRPr="00613BAD">
        <w:t xml:space="preserve">ransferable </w:t>
      </w:r>
      <w:r w:rsidR="00576421" w:rsidRPr="00613BAD">
        <w:t>s</w:t>
      </w:r>
      <w:r w:rsidR="009009DA" w:rsidRPr="00613BAD">
        <w:t xml:space="preserve">kills </w:t>
      </w:r>
      <w:r w:rsidR="00576421" w:rsidRPr="00613BAD">
        <w:t>i</w:t>
      </w:r>
      <w:r w:rsidR="009009DA" w:rsidRPr="00613BAD">
        <w:t>mportant?</w:t>
      </w:r>
      <w:bookmarkEnd w:id="3"/>
    </w:p>
    <w:p w14:paraId="15C72E6B" w14:textId="646B69CE" w:rsidR="001448DC" w:rsidRDefault="00C84B2E" w:rsidP="001448DC">
      <w:r w:rsidRPr="00C84B2E">
        <w:t>In a dynamic, evolving labour market, employers are increasingly looking for workers with strong transferable skills.</w:t>
      </w:r>
      <w:bookmarkStart w:id="4" w:name="_Ref189736444"/>
      <w:r>
        <w:rPr>
          <w:rStyle w:val="EndnoteReference"/>
        </w:rPr>
        <w:endnoteReference w:id="2"/>
      </w:r>
      <w:bookmarkEnd w:id="4"/>
    </w:p>
    <w:p w14:paraId="770B1BEF" w14:textId="4418E88C" w:rsidR="00AC5375" w:rsidRDefault="00AC5375" w:rsidP="001448DC">
      <w:r w:rsidRPr="00AC5375">
        <w:t>Qualities like strong communication, teamwork, and organizational skills are commonly requested in job postings, even in highly technical roles.</w:t>
      </w:r>
      <w:r>
        <w:fldChar w:fldCharType="begin"/>
      </w:r>
      <w:r>
        <w:instrText xml:space="preserve"> NOTEREF _Ref189736444 \f \h </w:instrText>
      </w:r>
      <w:r>
        <w:fldChar w:fldCharType="separate"/>
      </w:r>
      <w:r w:rsidRPr="00AC5375">
        <w:rPr>
          <w:rStyle w:val="EndnoteReference"/>
        </w:rPr>
        <w:t>1</w:t>
      </w:r>
      <w:r>
        <w:fldChar w:fldCharType="end"/>
      </w:r>
      <w:r w:rsidRPr="00AC5375">
        <w:t xml:space="preserve"> Employers we spoke to through the Research in STEAM project often evaluate workers for evidence of transferable skills during interviews and performance management.</w:t>
      </w:r>
    </w:p>
    <w:p w14:paraId="0EF94040" w14:textId="77777777" w:rsidR="00AC5375" w:rsidRDefault="00AC5375" w:rsidP="00AC5375">
      <w:r>
        <w:t>Through a combination of surveys and eLearning assessments from 88 jobseeker clients, and semi-structured focus groups and interviews with 16 employers, 18 employment service providers, and 26 jobseekers, Research in STEAM investigated:</w:t>
      </w:r>
    </w:p>
    <w:p w14:paraId="48C900E1" w14:textId="77777777" w:rsidR="00AC5375" w:rsidRDefault="00AC5375" w:rsidP="00AC5375">
      <w:pPr>
        <w:pStyle w:val="ListParagraph"/>
        <w:numPr>
          <w:ilvl w:val="0"/>
          <w:numId w:val="11"/>
        </w:numPr>
      </w:pPr>
      <w:r>
        <w:t>What transferable skills are most valuable in the workforce (and why)</w:t>
      </w:r>
    </w:p>
    <w:p w14:paraId="62338763" w14:textId="77777777" w:rsidR="00AC5375" w:rsidRDefault="00AC5375" w:rsidP="00AC5375">
      <w:pPr>
        <w:pStyle w:val="ListParagraph"/>
        <w:numPr>
          <w:ilvl w:val="0"/>
          <w:numId w:val="11"/>
        </w:numPr>
      </w:pPr>
      <w:r>
        <w:t>What strengths and areas of opportunity exist for jobseekers with disabilities in building and using these skills</w:t>
      </w:r>
    </w:p>
    <w:p w14:paraId="6FDC63E5" w14:textId="6DDDBE06" w:rsidR="00AC5375" w:rsidRDefault="00AC5375" w:rsidP="00AC5375">
      <w:pPr>
        <w:pStyle w:val="ListParagraph"/>
        <w:numPr>
          <w:ilvl w:val="0"/>
          <w:numId w:val="11"/>
        </w:numPr>
      </w:pPr>
      <w:r>
        <w:t>How building transferable skills supports job-related milestones and workplace success</w:t>
      </w:r>
    </w:p>
    <w:p w14:paraId="4CCCB794" w14:textId="183569F3" w:rsidR="008B14AA" w:rsidRDefault="00F1385A">
      <w:r w:rsidRPr="00F1385A">
        <w:t>Data from employers, service providers, and jobseekers showed that all five transferable skills were valued to some extent for the ways they helped jobseekers navigate the job search process, adjust to a workplace, and do their jobs effectively.</w:t>
      </w:r>
    </w:p>
    <w:p w14:paraId="10DFF3F7" w14:textId="2104F612" w:rsidR="00F1385A" w:rsidRDefault="00F1385A">
      <w:r w:rsidRPr="00F1385A">
        <w:t>Jobseekers rated how valuable they believed the five skills were to employers from 1 (very unimportant) to 5 (very important).</w:t>
      </w:r>
    </w:p>
    <w:p w14:paraId="444573C5" w14:textId="16D03009" w:rsidR="00E96A5C" w:rsidRDefault="001F26CF" w:rsidP="001F26CF">
      <w:pPr>
        <w:jc w:val="center"/>
      </w:pPr>
      <w:r>
        <w:rPr>
          <w:noProof/>
        </w:rPr>
        <w:drawing>
          <wp:inline distT="0" distB="0" distL="0" distR="0" wp14:anchorId="4BCF800B" wp14:editId="35A12DCF">
            <wp:extent cx="5956300" cy="2710815"/>
            <wp:effectExtent l="0" t="0" r="6350" b="13335"/>
            <wp:docPr id="1472634231" name="Chart 1">
              <a:extLst xmlns:a="http://schemas.openxmlformats.org/drawingml/2006/main">
                <a:ext uri="{FF2B5EF4-FFF2-40B4-BE49-F238E27FC236}">
                  <a16:creationId xmlns:a16="http://schemas.microsoft.com/office/drawing/2014/main" id="{99ED2E4B-73B6-9B70-9826-D872C17A39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791BE80" w14:textId="0497A347" w:rsidR="00E96A5C" w:rsidRDefault="00E96A5C">
      <w:r w:rsidRPr="001F26CF">
        <w:t>Description:</w:t>
      </w:r>
      <w:r>
        <w:t xml:space="preserve"> </w:t>
      </w:r>
      <w:r w:rsidR="005A0554">
        <w:t xml:space="preserve">A column chart titled </w:t>
      </w:r>
      <w:r w:rsidR="001F26CF">
        <w:t>“Perceived Value”</w:t>
      </w:r>
      <w:r w:rsidR="005A0554">
        <w:t xml:space="preserve"> showing </w:t>
      </w:r>
      <w:r w:rsidR="001F26CF">
        <w:t>participants’ ratings for how strongly they believed employers value each skillset.</w:t>
      </w:r>
      <w:r w:rsidR="005A0554">
        <w:t xml:space="preserve"> The x-axis indicates </w:t>
      </w:r>
      <w:r w:rsidR="001F26CF">
        <w:t xml:space="preserve">the five skills: adaptability, collaboration, communication, creativity and innovation, and problem solving. The </w:t>
      </w:r>
      <w:r w:rsidR="005A0554">
        <w:t xml:space="preserve">y-axis indicates </w:t>
      </w:r>
      <w:r w:rsidR="001F26CF">
        <w:t>the rating options from 1 (very unimportant) to 5 (very important)</w:t>
      </w:r>
      <w:r w:rsidR="005A0554">
        <w:t xml:space="preserve">. This graph </w:t>
      </w:r>
      <w:r w:rsidR="001F26CF">
        <w:t xml:space="preserve">shows that the average rating of perceived employer value for adaptability skills was 4.0, for collaboration the average rating was 4.2, for communication the average rating was 4.4, for creativity and innovation the </w:t>
      </w:r>
      <w:r w:rsidR="001F26CF">
        <w:lastRenderedPageBreak/>
        <w:t xml:space="preserve">average rating was 3.6, and for problem solving the average rating was 4.3. </w:t>
      </w:r>
      <w:r w:rsidR="005A0554">
        <w:t>This means</w:t>
      </w:r>
      <w:r w:rsidR="001F26CF">
        <w:t xml:space="preserve"> that communication skills were believed to be most valuable to employers, and creativity and innovation skills were believed to be</w:t>
      </w:r>
      <w:r w:rsidR="001D0303">
        <w:t xml:space="preserve"> the</w:t>
      </w:r>
      <w:r w:rsidR="001F26CF">
        <w:t xml:space="preserve"> least valuable to employers.</w:t>
      </w:r>
    </w:p>
    <w:p w14:paraId="7C86EEF2" w14:textId="77777777" w:rsidR="00F1385A" w:rsidRDefault="00F1385A" w:rsidP="00F1385A">
      <w:r>
        <w:t>Survey data showed jobseekers felt communication, problem solving, and collaboration skills were especially important to employers.</w:t>
      </w:r>
    </w:p>
    <w:p w14:paraId="79C21C81" w14:textId="44D34C50" w:rsidR="00F1385A" w:rsidRDefault="00F1385A" w:rsidP="00F1385A">
      <w:r>
        <w:t>On the next pages, we share three of the most notable themes that emerged about transferable skills and their value.</w:t>
      </w:r>
    </w:p>
    <w:p w14:paraId="4015485A" w14:textId="31BAA030" w:rsidR="008501D5" w:rsidRDefault="008501D5">
      <w:r>
        <w:br w:type="page"/>
      </w:r>
    </w:p>
    <w:p w14:paraId="1E9F1F2B" w14:textId="5EBA83D9" w:rsidR="009009DA" w:rsidRPr="00613BAD" w:rsidRDefault="0028320F" w:rsidP="00F1385A">
      <w:pPr>
        <w:pStyle w:val="Heading2"/>
      </w:pPr>
      <w:bookmarkStart w:id="5" w:name="_Toc190080420"/>
      <w:r w:rsidRPr="00613BAD">
        <w:lastRenderedPageBreak/>
        <w:t xml:space="preserve">Insight 1: </w:t>
      </w:r>
      <w:r w:rsidR="00C4616E" w:rsidRPr="00613BAD">
        <w:t xml:space="preserve">Strong </w:t>
      </w:r>
      <w:r w:rsidR="00082E3F" w:rsidRPr="00613BAD">
        <w:t xml:space="preserve">communication skills are </w:t>
      </w:r>
      <w:r w:rsidR="009B27A0" w:rsidRPr="00613BAD">
        <w:t>critical.</w:t>
      </w:r>
      <w:bookmarkEnd w:id="5"/>
    </w:p>
    <w:p w14:paraId="5C44ADFD" w14:textId="1403898B" w:rsidR="003D1793" w:rsidRPr="00613BAD" w:rsidRDefault="003D1793" w:rsidP="00D13FBA">
      <w:r w:rsidRPr="00613BAD">
        <w:t>85% of jobseekers said they believed communication skills were importan</w:t>
      </w:r>
      <w:r w:rsidR="00023BFB" w:rsidRPr="00613BAD">
        <w:t>t</w:t>
      </w:r>
      <w:r w:rsidRPr="00613BAD">
        <w:t xml:space="preserve"> or very important to employers.</w:t>
      </w:r>
    </w:p>
    <w:p w14:paraId="258F82CE" w14:textId="77777777" w:rsidR="00D13FBA" w:rsidRDefault="00D13FBA" w:rsidP="00210EA9">
      <w:r w:rsidRPr="00D13FBA">
        <w:t>Employers, service providers, and jobseekers with disabilities all agreed that communication skills are essential at all stages of the employment life cycle, from finding a job to developing a career.</w:t>
      </w:r>
    </w:p>
    <w:p w14:paraId="6536A971" w14:textId="77777777" w:rsidR="00D13FBA" w:rsidRDefault="00D13FBA" w:rsidP="00D13FBA">
      <w:r w:rsidRPr="00D13FBA">
        <w:t>Employers are looking for workers with strong communication skills because:</w:t>
      </w:r>
    </w:p>
    <w:p w14:paraId="71AB3314" w14:textId="77777777" w:rsidR="00413B02" w:rsidRDefault="00413B02" w:rsidP="00413B02">
      <w:pPr>
        <w:pStyle w:val="ListParagraph"/>
        <w:numPr>
          <w:ilvl w:val="0"/>
          <w:numId w:val="12"/>
        </w:numPr>
      </w:pPr>
      <w:r>
        <w:t>They help employees work effectively with clients, coworkers, and supervisors</w:t>
      </w:r>
    </w:p>
    <w:p w14:paraId="4FD383FF" w14:textId="77777777" w:rsidR="00413B02" w:rsidRDefault="00413B02" w:rsidP="00413B02">
      <w:pPr>
        <w:pStyle w:val="ListParagraph"/>
        <w:numPr>
          <w:ilvl w:val="0"/>
          <w:numId w:val="12"/>
        </w:numPr>
      </w:pPr>
      <w:r>
        <w:t>They’re necessary to provide good customer service</w:t>
      </w:r>
    </w:p>
    <w:p w14:paraId="007B9FB0" w14:textId="77777777" w:rsidR="00413B02" w:rsidRDefault="00413B02" w:rsidP="00413B02">
      <w:pPr>
        <w:pStyle w:val="ListParagraph"/>
        <w:numPr>
          <w:ilvl w:val="0"/>
          <w:numId w:val="12"/>
        </w:numPr>
      </w:pPr>
      <w:r>
        <w:t>They’re crucial for navigating conflict</w:t>
      </w:r>
    </w:p>
    <w:p w14:paraId="2CFB3EBC" w14:textId="21A9D272" w:rsidR="00413B02" w:rsidRDefault="00413B02" w:rsidP="00413B02">
      <w:pPr>
        <w:pStyle w:val="ListParagraph"/>
        <w:numPr>
          <w:ilvl w:val="0"/>
          <w:numId w:val="12"/>
        </w:numPr>
      </w:pPr>
      <w:r>
        <w:t>They help workers ask questions and tell employers when they need support</w:t>
      </w:r>
    </w:p>
    <w:p w14:paraId="5E6B49B0" w14:textId="77777777" w:rsidR="00413B02" w:rsidRDefault="00413B02" w:rsidP="00413B02">
      <w:pPr>
        <w:ind w:left="360"/>
      </w:pPr>
      <w:r w:rsidRPr="00413B02">
        <w:t>Jobseekers with disabilities, and the service providers who worked with them, value strong communication skills because:</w:t>
      </w:r>
    </w:p>
    <w:p w14:paraId="6B46E7A2" w14:textId="77777777" w:rsidR="00B84008" w:rsidRDefault="00B84008" w:rsidP="00B84008">
      <w:pPr>
        <w:pStyle w:val="ListParagraph"/>
        <w:numPr>
          <w:ilvl w:val="0"/>
          <w:numId w:val="13"/>
        </w:numPr>
        <w:tabs>
          <w:tab w:val="left" w:pos="1940"/>
        </w:tabs>
      </w:pPr>
      <w:r>
        <w:t>They’re essential for creating application materials and interviewing</w:t>
      </w:r>
    </w:p>
    <w:p w14:paraId="1A311E80" w14:textId="77777777" w:rsidR="00B84008" w:rsidRDefault="00B84008" w:rsidP="00B84008">
      <w:pPr>
        <w:pStyle w:val="ListParagraph"/>
        <w:numPr>
          <w:ilvl w:val="0"/>
          <w:numId w:val="13"/>
        </w:numPr>
        <w:tabs>
          <w:tab w:val="left" w:pos="1940"/>
        </w:tabs>
      </w:pPr>
      <w:r>
        <w:t>They allow people to share their thoughts and ideas effectively</w:t>
      </w:r>
    </w:p>
    <w:p w14:paraId="696BD6A9" w14:textId="77777777" w:rsidR="00B84008" w:rsidRDefault="00B84008" w:rsidP="00B84008">
      <w:pPr>
        <w:pStyle w:val="ListParagraph"/>
        <w:numPr>
          <w:ilvl w:val="0"/>
          <w:numId w:val="13"/>
        </w:numPr>
        <w:tabs>
          <w:tab w:val="left" w:pos="1940"/>
        </w:tabs>
      </w:pPr>
      <w:r>
        <w:t>They promote relationship-building and mutual understanding, and reduce interpersonal conflict</w:t>
      </w:r>
    </w:p>
    <w:p w14:paraId="785579E7" w14:textId="6916FA24" w:rsidR="00413B02" w:rsidRDefault="00B84008" w:rsidP="00B84008">
      <w:pPr>
        <w:pStyle w:val="ListParagraph"/>
        <w:numPr>
          <w:ilvl w:val="0"/>
          <w:numId w:val="13"/>
        </w:numPr>
        <w:tabs>
          <w:tab w:val="left" w:pos="1940"/>
        </w:tabs>
      </w:pPr>
      <w:r>
        <w:t>They’re important for navigating difficult situations, like requesting accommodations</w:t>
      </w:r>
    </w:p>
    <w:p w14:paraId="20263B8D" w14:textId="3E7388F8" w:rsidR="00B84008" w:rsidRPr="00B84008" w:rsidRDefault="00B84008" w:rsidP="00B84008">
      <w:r w:rsidRPr="00B84008">
        <w:t>Communication skills were closely linked to other skills, especially collaboration. Effective, clear communication leads to better collaboration and stronger relationships, and collaboration skills like mutual respect, empathy, and an inclusive attitude create an environment for open communication. They were also linked to problem solving, especially in teams. Effective communication makes it possible to solve challenges together.</w:t>
      </w:r>
    </w:p>
    <w:p w14:paraId="7D8D615F" w14:textId="5B4F1A7F" w:rsidR="00B84008" w:rsidRPr="00B84008" w:rsidRDefault="00B84008" w:rsidP="00B84008">
      <w:r w:rsidRPr="00B84008">
        <w:t>Importantly, good communication is two-directional. Both workers and employers have a role to play in listening and sharing information. Employers have a responsibility to clearly convey expectations and instructions, respond effectively to questions and concerns, and proactively communicate changes. If workers face disability-related barriers to communication – like speech disability, anxiety, or difficulties with non-verbal communication – awareness and understanding from employers is especially important for promoting belonging and mutual understanding.</w:t>
      </w:r>
    </w:p>
    <w:p w14:paraId="414F0813" w14:textId="4D5F99F5" w:rsidR="008501D5" w:rsidRDefault="00B84008" w:rsidP="00B84008">
      <w:r w:rsidRPr="00B84008">
        <w:t>Many jobseekers with disabilities told us communication was one of their strongest skills. At the same time, almost all participants wanted to increase these skills. We learned there is always room to grow, even for people with strong communication skills. Writing, speaking, and body language are distinct and important aspects of communication, and developing in each of these areas supports better collaboration and more effective team problem solving. Advanced learners can also build their communication skills in specialized areas, like technical writing, public speaking, negotiation, or conflict mediation.</w:t>
      </w:r>
    </w:p>
    <w:p w14:paraId="67A21967" w14:textId="77777777" w:rsidR="008501D5" w:rsidRDefault="008501D5">
      <w:r>
        <w:br w:type="page"/>
      </w:r>
    </w:p>
    <w:p w14:paraId="609C32B3" w14:textId="221957EE" w:rsidR="00F9462C" w:rsidRDefault="00150060" w:rsidP="00B84008">
      <w:pPr>
        <w:pStyle w:val="Heading2"/>
      </w:pPr>
      <w:bookmarkStart w:id="6" w:name="_Toc190080421"/>
      <w:r w:rsidRPr="00613BAD">
        <w:lastRenderedPageBreak/>
        <w:t xml:space="preserve">Insight 2: </w:t>
      </w:r>
      <w:r w:rsidR="00152B5E" w:rsidRPr="00613BAD">
        <w:t xml:space="preserve">Workers with disabilities </w:t>
      </w:r>
      <w:r w:rsidR="001A7415" w:rsidRPr="00613BAD">
        <w:t>have a variety of strengths th</w:t>
      </w:r>
      <w:r w:rsidR="000E5758" w:rsidRPr="00613BAD">
        <w:t>at benefit workplaces.</w:t>
      </w:r>
      <w:bookmarkEnd w:id="6"/>
    </w:p>
    <w:p w14:paraId="2952D416" w14:textId="31BCC8D1" w:rsidR="00997E98" w:rsidRDefault="00997E98" w:rsidP="00997E98">
      <w:r w:rsidRPr="00997E98">
        <w:t>Jobseekers, service providers, and employers told us about a wide variety of strengths that workers with disabilities bring to workplaces.</w:t>
      </w:r>
    </w:p>
    <w:p w14:paraId="41DF1C80" w14:textId="11F7AD56" w:rsidR="009642FA" w:rsidRDefault="009642FA" w:rsidP="00997E98">
      <w:r w:rsidRPr="009642FA">
        <w:t>Echoing findings from other research,</w:t>
      </w:r>
      <w:r>
        <w:rPr>
          <w:rStyle w:val="EndnoteReference"/>
        </w:rPr>
        <w:endnoteReference w:id="3"/>
      </w:r>
      <w:r w:rsidRPr="009642FA">
        <w:t xml:space="preserve"> we learned that living with a disability can mean using various transferable skills “all day long” to meet challenges, and “seeing things differently” (as our participants put it). Many workers with disabilities have spent years or a lifetime navigating an inaccessible world, and developed important skills and strategies in the process. For Research in STEAM participants, these included resilience, lateral thinking, and many other transferable skills.</w:t>
      </w:r>
    </w:p>
    <w:p w14:paraId="2E6D2CE2" w14:textId="43510B80" w:rsidR="00997E98" w:rsidRPr="00997E98" w:rsidRDefault="009642FA" w:rsidP="00997E98">
      <w:r w:rsidRPr="009642FA">
        <w:t>At the end of service delivery, jobseekers rated their confidence using their transferable skills in the workplace from 1 (very low) to 5 (very high).</w:t>
      </w:r>
    </w:p>
    <w:p w14:paraId="15F74EA8" w14:textId="129C1364" w:rsidR="000C619B" w:rsidRDefault="00A801A0" w:rsidP="00AF3565">
      <w:pPr>
        <w:jc w:val="center"/>
      </w:pPr>
      <w:r w:rsidRPr="00613BAD">
        <w:rPr>
          <w:noProof/>
        </w:rPr>
        <w:drawing>
          <wp:inline distT="0" distB="0" distL="0" distR="0" wp14:anchorId="08A08D4B" wp14:editId="3DE50746">
            <wp:extent cx="5797550" cy="2603500"/>
            <wp:effectExtent l="0" t="0" r="12700" b="6350"/>
            <wp:docPr id="493125783" name="Chart 1">
              <a:extLst xmlns:a="http://schemas.openxmlformats.org/drawingml/2006/main">
                <a:ext uri="{FF2B5EF4-FFF2-40B4-BE49-F238E27FC236}">
                  <a16:creationId xmlns:a16="http://schemas.microsoft.com/office/drawing/2014/main" id="{69DEC605-1E7C-D4BC-E753-E67342D7B7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85F8F05" w14:textId="36DF676D" w:rsidR="001D0303" w:rsidRDefault="00803F9A" w:rsidP="001D0303">
      <w:r>
        <w:t xml:space="preserve">Description: </w:t>
      </w:r>
      <w:r w:rsidR="001D0303">
        <w:t>A column chart titled “</w:t>
      </w:r>
      <w:r w:rsidR="001D0303">
        <w:t>Confidence</w:t>
      </w:r>
      <w:r w:rsidR="001D0303">
        <w:t>” showing participants’ ratings</w:t>
      </w:r>
      <w:r w:rsidR="001D0303">
        <w:t xml:space="preserve"> of how confident they were using each skillset in the workplace</w:t>
      </w:r>
      <w:r w:rsidR="003A15ED">
        <w:t xml:space="preserve"> at the end of their service timeline</w:t>
      </w:r>
      <w:r w:rsidR="001D0303">
        <w:t>. The x-axis indicates the five skills: adaptability, collaboration, communication, creativity and innovation, and problem solving. The y-axis indicates the rating options from 1 (</w:t>
      </w:r>
      <w:r w:rsidR="00907C3D">
        <w:t>very low confidence</w:t>
      </w:r>
      <w:r w:rsidR="001D0303">
        <w:t xml:space="preserve">) to 5 (very </w:t>
      </w:r>
      <w:r w:rsidR="00907C3D">
        <w:t>high confidence</w:t>
      </w:r>
      <w:r w:rsidR="001D0303">
        <w:t>). This graph shows that th</w:t>
      </w:r>
      <w:r w:rsidR="00907C3D">
        <w:t>e average rating</w:t>
      </w:r>
      <w:r w:rsidR="007E74AC">
        <w:t xml:space="preserve"> for adaptability was 3.7, and the average ratings for collaboration, communication, creativity &amp; innovation, and problem solving were each 3.8. </w:t>
      </w:r>
      <w:r w:rsidR="001D0303">
        <w:t xml:space="preserve">This means that </w:t>
      </w:r>
      <w:r w:rsidR="007E74AC">
        <w:t>participants felt roughly equally confident using each of the skills</w:t>
      </w:r>
      <w:r w:rsidR="00EA7C03">
        <w:t>, with confidence ratings for adaptability skills only slightly lower.</w:t>
      </w:r>
    </w:p>
    <w:p w14:paraId="29E02037" w14:textId="77777777" w:rsidR="00EC36F6" w:rsidRDefault="00EC36F6" w:rsidP="003F1DBC">
      <w:r w:rsidRPr="00EC36F6">
        <w:t>Almost all jobseekers felt problem solving was one of their strongest areas. Many felt they were skilled problem solvers in work and daily life, and were often approached by others for help. Many participants also said they were creative and innovative in the workplace, and described themselves as inventive and good at brainstorming.</w:t>
      </w:r>
    </w:p>
    <w:p w14:paraId="566CDE8D" w14:textId="1D84A8A0" w:rsidR="00EC36F6" w:rsidRDefault="00EC36F6" w:rsidP="003F1DBC">
      <w:r w:rsidRPr="00EC36F6">
        <w:t xml:space="preserve">Most participants felt communication was one of their strongest skillsets. Jobseekers had diverse communication strengths: some were great writers, while others were skilled at non-verbal </w:t>
      </w:r>
      <w:r w:rsidRPr="00EC36F6">
        <w:lastRenderedPageBreak/>
        <w:t>communication. Service providers shared stories of how building communication skills helped clients transition to new roles like customer service, or overcome barriers like interview anxiety.</w:t>
      </w:r>
    </w:p>
    <w:p w14:paraId="7390EC73" w14:textId="3258B881" w:rsidR="0046289E" w:rsidRDefault="0046289E" w:rsidP="003F1DBC">
      <w:r w:rsidRPr="0046289E">
        <w:t>Many jobseekers felt they had strong collaboration skills, which they demonstrated in diverse ways. Some described themselves as social and outgoing – crucial skills for networking and building workplace rapport. Some thrived in teams. Others felt that having a disability had increased their empathy and compassion.</w:t>
      </w:r>
    </w:p>
    <w:p w14:paraId="0C71F5F6" w14:textId="5061BF00" w:rsidR="0046289E" w:rsidRDefault="0046289E" w:rsidP="003F1DBC">
      <w:r w:rsidRPr="0046289E">
        <w:t>Some participants felt they had strong adaptability skillsets. Adaptability covers a wide range of skills including flexibility, perseverance, resilience, regulating emotions, and open-mindedness. Jobseekers, again, had diverse adaptability skills: some were flexible to change, and others were very resilient. Service providers also noted that many clients improved their adaptability skills significantly during training.</w:t>
      </w:r>
    </w:p>
    <w:p w14:paraId="2187767C" w14:textId="32193E8C" w:rsidR="0046289E" w:rsidRDefault="0046289E" w:rsidP="003F1DBC">
      <w:r w:rsidRPr="0046289E">
        <w:t>Jobseekers reported how capable they were with course topics before and after completing eLearnings. Skill scores are averages of all courses clients took in a particular skill.</w:t>
      </w:r>
    </w:p>
    <w:p w14:paraId="0959BBB9" w14:textId="77777777" w:rsidR="004E1109" w:rsidRPr="00613BAD" w:rsidRDefault="004E1109" w:rsidP="004E1109">
      <w:pPr>
        <w:jc w:val="center"/>
      </w:pPr>
      <w:r w:rsidRPr="00613BAD">
        <w:rPr>
          <w:noProof/>
        </w:rPr>
        <w:drawing>
          <wp:inline distT="0" distB="0" distL="0" distR="0" wp14:anchorId="1324E87A" wp14:editId="0BBCB453">
            <wp:extent cx="5381625" cy="2962275"/>
            <wp:effectExtent l="0" t="0" r="9525" b="9525"/>
            <wp:docPr id="575200531" name="Chart 1">
              <a:extLst xmlns:a="http://schemas.openxmlformats.org/drawingml/2006/main">
                <a:ext uri="{FF2B5EF4-FFF2-40B4-BE49-F238E27FC236}">
                  <a16:creationId xmlns:a16="http://schemas.microsoft.com/office/drawing/2014/main" id="{B08A7B55-E4D4-ADF1-A372-EBE2312230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2B3CD94" w14:textId="521AB9B7" w:rsidR="003A15ED" w:rsidRDefault="004E1109" w:rsidP="003A15ED">
      <w:r>
        <w:t xml:space="preserve">Description: </w:t>
      </w:r>
      <w:r w:rsidR="003A15ED">
        <w:t xml:space="preserve">A </w:t>
      </w:r>
      <w:r w:rsidR="003A15ED">
        <w:t>line graph titled “Adaptability Skills</w:t>
      </w:r>
      <w:r w:rsidR="003A15ED">
        <w:t>” showing participants’</w:t>
      </w:r>
      <w:r w:rsidR="003A15ED">
        <w:t xml:space="preserve"> </w:t>
      </w:r>
      <w:r w:rsidR="003E4C44">
        <w:t xml:space="preserve">average </w:t>
      </w:r>
      <w:r w:rsidR="003A15ED">
        <w:t xml:space="preserve">scores </w:t>
      </w:r>
      <w:r w:rsidR="003E4C44">
        <w:t xml:space="preserve">on </w:t>
      </w:r>
      <w:r w:rsidR="00FB5B5F">
        <w:t xml:space="preserve">pre-course </w:t>
      </w:r>
      <w:r w:rsidR="003E4C44">
        <w:t>assessments</w:t>
      </w:r>
      <w:r w:rsidR="00FB5B5F">
        <w:t xml:space="preserve"> and post-course assessments for courses related to adaptability skills</w:t>
      </w:r>
      <w:r w:rsidR="003A15ED">
        <w:t>. The x-axis indicates</w:t>
      </w:r>
      <w:r w:rsidR="00FB5B5F">
        <w:t xml:space="preserve"> pre-course (‘pre-learning’) and post-course (‘post-learning’) scores</w:t>
      </w:r>
      <w:r w:rsidR="003A15ED">
        <w:t>. The y-axis indicates the</w:t>
      </w:r>
      <w:r w:rsidR="00FB5B5F">
        <w:t xml:space="preserve"> average percent scores obtained by participants, from 0% to 100%</w:t>
      </w:r>
      <w:r w:rsidR="003A15ED">
        <w:t>. This graph shows tha</w:t>
      </w:r>
      <w:r w:rsidR="00FB5B5F">
        <w:t xml:space="preserve">t on average, </w:t>
      </w:r>
      <w:r w:rsidR="000632CA">
        <w:t>participants scored 72.87% on adaptability-related topics before taking the associated eLearning course</w:t>
      </w:r>
      <w:r w:rsidR="001119A5">
        <w:t>s</w:t>
      </w:r>
      <w:r w:rsidR="00391BBE">
        <w:t>,</w:t>
      </w:r>
      <w:r w:rsidR="001119A5">
        <w:t xml:space="preserve"> and</w:t>
      </w:r>
      <w:r w:rsidR="00391BBE">
        <w:t xml:space="preserve"> 90.61%</w:t>
      </w:r>
      <w:r w:rsidR="001119A5">
        <w:t xml:space="preserve"> on average</w:t>
      </w:r>
      <w:r w:rsidR="00391BBE">
        <w:t xml:space="preserve"> on the topics after taking the courses</w:t>
      </w:r>
      <w:r w:rsidR="003A15ED">
        <w:t>. This means that</w:t>
      </w:r>
      <w:r w:rsidR="00FB5B5F">
        <w:t xml:space="preserve"> </w:t>
      </w:r>
      <w:r w:rsidR="00391BBE">
        <w:t xml:space="preserve">on average, participants’ self-reported adaptability skills </w:t>
      </w:r>
      <w:r w:rsidR="00E1455F">
        <w:t>increased by 17.74 percentage points after taking adaptability eLearning courses</w:t>
      </w:r>
      <w:r w:rsidR="003A15ED">
        <w:t>.</w:t>
      </w:r>
    </w:p>
    <w:p w14:paraId="56F8C3D7" w14:textId="77777777" w:rsidR="0046289E" w:rsidRDefault="0046289E" w:rsidP="0046289E">
      <w:r>
        <w:t>We also learned that employers don’t always recognize workers’ transferable skills.</w:t>
      </w:r>
    </w:p>
    <w:p w14:paraId="1C8EB8DC" w14:textId="77777777" w:rsidR="0046289E" w:rsidRDefault="0046289E" w:rsidP="0046289E">
      <w:r>
        <w:lastRenderedPageBreak/>
        <w:t>Sometimes they hold misconceptions and biases, like believing workers with disabilities are all the same. For example, service providers shared that some employers believe workers with disabilities are not good at problem solving or coming up with new ideas.</w:t>
      </w:r>
    </w:p>
    <w:p w14:paraId="48F4574E" w14:textId="56BED1E9" w:rsidR="00D05558" w:rsidRDefault="0046289E" w:rsidP="0046289E">
      <w:r>
        <w:t>Undoing these misconceptions and recognizing all individual employees’ unique strengths is crucial for unlocking potential.</w:t>
      </w:r>
    </w:p>
    <w:p w14:paraId="37F77673" w14:textId="6ECDDA53" w:rsidR="008501D5" w:rsidRDefault="008501D5">
      <w:r>
        <w:br w:type="page"/>
      </w:r>
    </w:p>
    <w:p w14:paraId="2AFA6080" w14:textId="3C1F700F" w:rsidR="009D6C80" w:rsidRPr="00613BAD" w:rsidRDefault="00D03398" w:rsidP="00656283">
      <w:pPr>
        <w:pStyle w:val="Heading2"/>
      </w:pPr>
      <w:bookmarkStart w:id="7" w:name="_Toc190080422"/>
      <w:r w:rsidRPr="00613BAD">
        <w:lastRenderedPageBreak/>
        <w:t xml:space="preserve">Insight 3: </w:t>
      </w:r>
      <w:r w:rsidR="000B627D" w:rsidRPr="00613BAD">
        <w:t xml:space="preserve">Creativity </w:t>
      </w:r>
      <w:r w:rsidR="00082E3F" w:rsidRPr="00613BAD">
        <w:t>&amp; innovation</w:t>
      </w:r>
      <w:r w:rsidR="009D78C0" w:rsidRPr="00613BAD">
        <w:t xml:space="preserve"> are </w:t>
      </w:r>
      <w:r w:rsidR="00082E3F" w:rsidRPr="00613BAD">
        <w:t>underrecognized strength</w:t>
      </w:r>
      <w:r w:rsidR="009D78C0" w:rsidRPr="00613BAD">
        <w:t>s</w:t>
      </w:r>
      <w:r w:rsidR="00082E3F" w:rsidRPr="00613BAD">
        <w:t>.</w:t>
      </w:r>
      <w:bookmarkEnd w:id="7"/>
    </w:p>
    <w:p w14:paraId="5B78DC91" w14:textId="080B2837" w:rsidR="00BF2B2E" w:rsidRPr="00613BAD" w:rsidRDefault="00677296" w:rsidP="00803F9A">
      <w:r w:rsidRPr="00613BAD">
        <w:t>M</w:t>
      </w:r>
      <w:r w:rsidR="00D85919" w:rsidRPr="00613BAD">
        <w:t>any</w:t>
      </w:r>
      <w:r w:rsidRPr="00613BAD">
        <w:t xml:space="preserve"> jobseekers felt they were creative, but o</w:t>
      </w:r>
      <w:r w:rsidR="00BF2B2E" w:rsidRPr="00613BAD">
        <w:t>nly half thought creativity skills were important to employers.</w:t>
      </w:r>
    </w:p>
    <w:p w14:paraId="022DB95F" w14:textId="77777777" w:rsidR="00C04620" w:rsidRDefault="00C04620" w:rsidP="00C04620">
      <w:r>
        <w:t>Creativity and innovation skills help individuals come up with new ideas and plans. Highly creative people can connect different concepts, combine information from different sources, and find new or improved ways to do things. Despite this, only about 56% of our jobseeker participants thought employers valued creativity, and some believed employers actively discouraged it.</w:t>
      </w:r>
    </w:p>
    <w:p w14:paraId="2AC048DE" w14:textId="73BF9AC3" w:rsidR="00C04620" w:rsidRDefault="00C04620" w:rsidP="00C04620">
      <w:r>
        <w:t>Employers we spoke to had conflicting opinions. Some felt that establishing workplace processes made creativity irrelevant or even undesirable. Of course, different industries and roles require different skills. Employers in process-driven industries like manufacturing, or who managed workers in entry-level roles with routine tasks, placed less importance on creativity. On the other hand, employers who valued creativity recognized how creative workers could create process improvements or provide better customer service.</w:t>
      </w:r>
    </w:p>
    <w:p w14:paraId="1F0E4E99" w14:textId="04818A57" w:rsidR="00C04620" w:rsidRDefault="00C04620" w:rsidP="00C04620">
      <w:r>
        <w:t>Why are creativity skills undervalued? One employer believed that employers’ resistance to change could make them unwilling to entertain new ideas. Another possibility is that, for some people, ‘creativity’ conjures images of jobs in art, design, and marketing. But being able to come up with new ideas and think outside the box is a competitive advantage and a productivity booster in nearly all workplaces. Additionally, for many participants we spoke to, problem solving and creativity were deeply connected.</w:t>
      </w:r>
    </w:p>
    <w:p w14:paraId="75EC858E" w14:textId="02EA0453" w:rsidR="00C04620" w:rsidRDefault="00C04620" w:rsidP="00C04620">
      <w:r>
        <w:t>Many jobseekers with disabilities described themselves as highly creative people. Promoting these skills in the workplace has the potential to lead to new products, services, and business strategies. Creativity also improves efficiency – process improvements can help employees ‘work smart, not hard’. Creativity is also part of problem solving. Change and challenges are inevitable, whether in day-to-day tasks or strategic planning. Workers who can generate new and effective solutions are indispensable.</w:t>
      </w:r>
    </w:p>
    <w:p w14:paraId="13278A54" w14:textId="0A158BEC" w:rsidR="008501D5" w:rsidRDefault="008501D5">
      <w:r>
        <w:br w:type="page"/>
      </w:r>
    </w:p>
    <w:p w14:paraId="549061C1" w14:textId="1A3A5635" w:rsidR="00B1541F" w:rsidRPr="00613BAD" w:rsidRDefault="00B1541F" w:rsidP="00656283">
      <w:pPr>
        <w:pStyle w:val="Heading2"/>
      </w:pPr>
      <w:bookmarkStart w:id="8" w:name="_Toc190080423"/>
      <w:r w:rsidRPr="00613BAD">
        <w:lastRenderedPageBreak/>
        <w:t>How can service providers support transferable skill development?</w:t>
      </w:r>
      <w:bookmarkEnd w:id="8"/>
    </w:p>
    <w:p w14:paraId="2372587C" w14:textId="3DC19D8A" w:rsidR="008A7A93" w:rsidRDefault="008A7A93" w:rsidP="008A7A93">
      <w:r>
        <w:t>All five transferable skills are valuable for workplace productivity and thriving, and they also enhance jobseekers’ employability. By helping jobseekers with disabilities develop their transferable skills, service providers can support them to achieve and retain work.</w:t>
      </w:r>
    </w:p>
    <w:p w14:paraId="05400013" w14:textId="65502069" w:rsidR="008A7A93" w:rsidRDefault="008A7A93" w:rsidP="008A7A93">
      <w:r>
        <w:t>Through Research in STEAM, we learned that having strong transferable skills can support jobseekers in their job search in a few ways:</w:t>
      </w:r>
    </w:p>
    <w:p w14:paraId="034F93E0" w14:textId="77777777" w:rsidR="008A7A93" w:rsidRDefault="008A7A93" w:rsidP="008A7A93">
      <w:pPr>
        <w:pStyle w:val="ListParagraph"/>
        <w:numPr>
          <w:ilvl w:val="0"/>
          <w:numId w:val="14"/>
        </w:numPr>
      </w:pPr>
      <w:r>
        <w:t>Strong communication skills help jobseekers write application materials, succeed at interviews, and self-advocate at all stages of employment.</w:t>
      </w:r>
    </w:p>
    <w:p w14:paraId="1EE8A9FB" w14:textId="77777777" w:rsidR="008A7A93" w:rsidRDefault="008A7A93" w:rsidP="008A7A93">
      <w:pPr>
        <w:pStyle w:val="ListParagraph"/>
        <w:numPr>
          <w:ilvl w:val="0"/>
          <w:numId w:val="14"/>
        </w:numPr>
      </w:pPr>
      <w:r>
        <w:t>Adaptability, problem solving, and creativity and innovation help jobseekers identify new learning opportunities or shift to different career paths.</w:t>
      </w:r>
    </w:p>
    <w:p w14:paraId="5ECDBF1A" w14:textId="77777777" w:rsidR="008A7A93" w:rsidRDefault="008A7A93" w:rsidP="008A7A93">
      <w:pPr>
        <w:pStyle w:val="ListParagraph"/>
        <w:numPr>
          <w:ilvl w:val="0"/>
          <w:numId w:val="14"/>
        </w:numPr>
      </w:pPr>
      <w:r>
        <w:t>Collaboration and adaptability help jobseekers regulate emotions and work effectively with others.</w:t>
      </w:r>
    </w:p>
    <w:p w14:paraId="5443B7B8" w14:textId="16292CC7" w:rsidR="008A7A93" w:rsidRDefault="008A7A93" w:rsidP="008A7A93">
      <w:pPr>
        <w:pStyle w:val="ListParagraph"/>
        <w:numPr>
          <w:ilvl w:val="0"/>
          <w:numId w:val="14"/>
        </w:numPr>
      </w:pPr>
      <w:r>
        <w:t>Strong adaptability skills help jobseekers persevere through setbacks like rejection and maintain motivation.</w:t>
      </w:r>
    </w:p>
    <w:p w14:paraId="4D6DB5BC" w14:textId="5578B951" w:rsidR="008A7A93" w:rsidRDefault="008A7A93" w:rsidP="00B1541F">
      <w:r w:rsidRPr="008A7A93">
        <w:t>68% of participants said they’d updated their resumes to reflect what they learned from skills training.</w:t>
      </w:r>
    </w:p>
    <w:p w14:paraId="57EDDFC2" w14:textId="77777777" w:rsidR="008A7A93" w:rsidRDefault="008A7A93" w:rsidP="008A7A93">
      <w:r>
        <w:t>Service providers of skills training for jobseekers with disabilities have several important roles. Providers can:</w:t>
      </w:r>
    </w:p>
    <w:p w14:paraId="3E4C3F5C" w14:textId="77777777" w:rsidR="008A7A93" w:rsidRDefault="008A7A93" w:rsidP="008A7A93">
      <w:pPr>
        <w:pStyle w:val="ListParagraph"/>
        <w:numPr>
          <w:ilvl w:val="0"/>
          <w:numId w:val="15"/>
        </w:numPr>
      </w:pPr>
      <w:r>
        <w:t>Offer effective, accessible transferable skills training.</w:t>
      </w:r>
    </w:p>
    <w:p w14:paraId="0E278C09" w14:textId="77777777" w:rsidR="008A7A93" w:rsidRDefault="008A7A93" w:rsidP="008A7A93">
      <w:pPr>
        <w:pStyle w:val="ListParagraph"/>
        <w:numPr>
          <w:ilvl w:val="0"/>
          <w:numId w:val="15"/>
        </w:numPr>
      </w:pPr>
      <w:r>
        <w:t>Help jobseekers recognize, apply, and demonstrate their strengths in the workplace.</w:t>
      </w:r>
    </w:p>
    <w:p w14:paraId="4727480F" w14:textId="2A8B8E09" w:rsidR="008A7A93" w:rsidRDefault="008A7A93" w:rsidP="008A7A93">
      <w:pPr>
        <w:pStyle w:val="ListParagraph"/>
        <w:numPr>
          <w:ilvl w:val="0"/>
          <w:numId w:val="15"/>
        </w:numPr>
      </w:pPr>
      <w:r>
        <w:t>Advocate and educate employers about disability-inclusive work and the strengths of workers with disabilities.</w:t>
      </w:r>
    </w:p>
    <w:p w14:paraId="6B28971B" w14:textId="49045286" w:rsidR="008A7A93" w:rsidRDefault="008A7A93" w:rsidP="008A7A93">
      <w:r>
        <w:t>Next, we share three recommendations for service providers to effectively support jobseekers with disabilities to build and use transferable skills for employment success.</w:t>
      </w:r>
    </w:p>
    <w:p w14:paraId="336B3B5D" w14:textId="11D39331" w:rsidR="008501D5" w:rsidRDefault="008501D5">
      <w:r>
        <w:br w:type="page"/>
      </w:r>
    </w:p>
    <w:p w14:paraId="64EFD325" w14:textId="53C12312" w:rsidR="00B7623B" w:rsidRPr="00613BAD" w:rsidRDefault="00B7623B" w:rsidP="000E4F36">
      <w:pPr>
        <w:pStyle w:val="Heading2"/>
      </w:pPr>
      <w:bookmarkStart w:id="9" w:name="_Toc190080424"/>
      <w:r w:rsidRPr="00613BAD">
        <w:lastRenderedPageBreak/>
        <w:t xml:space="preserve">Recommendation 1: </w:t>
      </w:r>
      <w:r w:rsidR="00A63C27" w:rsidRPr="00613BAD">
        <w:t>Implement e</w:t>
      </w:r>
      <w:r w:rsidRPr="00613BAD">
        <w:t>ffective, accessible</w:t>
      </w:r>
      <w:r w:rsidR="00E45BEC" w:rsidRPr="00613BAD">
        <w:t xml:space="preserve"> skills</w:t>
      </w:r>
      <w:r w:rsidR="0011204F" w:rsidRPr="00613BAD">
        <w:t xml:space="preserve"> training</w:t>
      </w:r>
      <w:r w:rsidRPr="00613BAD">
        <w:t xml:space="preserve"> </w:t>
      </w:r>
      <w:r w:rsidR="00C90431" w:rsidRPr="00613BAD">
        <w:t>curricula</w:t>
      </w:r>
      <w:r w:rsidR="00576C5E" w:rsidRPr="00613BAD">
        <w:t>.</w:t>
      </w:r>
      <w:bookmarkEnd w:id="9"/>
    </w:p>
    <w:p w14:paraId="7CF01B19" w14:textId="77777777" w:rsidR="00E17999" w:rsidRDefault="00E17999" w:rsidP="00E17999">
      <w:r>
        <w:t xml:space="preserve">‘Soft skills’ are sometimes viewed as personal qualities or personality traits that can’t be changed. </w:t>
      </w:r>
    </w:p>
    <w:p w14:paraId="0F04E0EE" w14:textId="77777777" w:rsidR="00E17999" w:rsidRDefault="00E17999" w:rsidP="00E17999">
      <w:r>
        <w:t>It’s important to recognize that adaptability, communication, collaboration, creativity, and problem solving are all transferable skills that can be developed with education, training, coaching, and practice.</w:t>
      </w:r>
    </w:p>
    <w:p w14:paraId="26CB1E29" w14:textId="5126D883" w:rsidR="00E17999" w:rsidRDefault="00E17999" w:rsidP="00E17999">
      <w:r>
        <w:t>Jobseekers reported how capable they were with course topics before and after completing eLearnings. Skill scores are averages of all courses clients took in a particular skill.</w:t>
      </w:r>
      <w:r w:rsidR="005C7D23">
        <w:t xml:space="preserve"> </w:t>
      </w:r>
      <w:r w:rsidR="005C7D23">
        <w:t xml:space="preserve">Note: </w:t>
      </w:r>
      <w:r w:rsidR="005C7D23">
        <w:t xml:space="preserve">the average in the chart below </w:t>
      </w:r>
      <w:r w:rsidR="005C7D23">
        <w:t>excludes collaboration due to insufficient data.</w:t>
      </w:r>
    </w:p>
    <w:p w14:paraId="053C6771" w14:textId="25497B1D" w:rsidR="006E3C92" w:rsidRPr="00613BAD" w:rsidRDefault="0087283A" w:rsidP="00947388">
      <w:pPr>
        <w:jc w:val="center"/>
      </w:pPr>
      <w:r>
        <w:rPr>
          <w:noProof/>
        </w:rPr>
        <w:drawing>
          <wp:inline distT="0" distB="0" distL="0" distR="0" wp14:anchorId="7CDD20F7" wp14:editId="2935CD26">
            <wp:extent cx="5473700" cy="2832100"/>
            <wp:effectExtent l="0" t="0" r="12700" b="6350"/>
            <wp:docPr id="100740872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9FADBD6" w14:textId="19149B8D" w:rsidR="00947388" w:rsidRDefault="00803F9A" w:rsidP="00947388">
      <w:r>
        <w:t xml:space="preserve">Description: </w:t>
      </w:r>
      <w:r w:rsidR="00947388">
        <w:t>A line graph titled “</w:t>
      </w:r>
      <w:r w:rsidR="00947388">
        <w:t>Average Skill Increase</w:t>
      </w:r>
      <w:r w:rsidR="00947388">
        <w:t xml:space="preserve">” showing participants’ average scores on pre-course assessments and post-course assessments for </w:t>
      </w:r>
      <w:r w:rsidR="005C7D23">
        <w:t>courses across all transferable skill domains, except collaboration, which was excluded due to insufficient data</w:t>
      </w:r>
      <w:r w:rsidR="00947388">
        <w:t xml:space="preserve">. The x-axis indicates </w:t>
      </w:r>
      <w:r w:rsidR="005C7D23">
        <w:t>average scores before using the eLearning courses</w:t>
      </w:r>
      <w:r w:rsidR="00947388">
        <w:t xml:space="preserve"> (</w:t>
      </w:r>
      <w:r w:rsidR="005C7D23">
        <w:t>‘before service’</w:t>
      </w:r>
      <w:r w:rsidR="00947388">
        <w:t xml:space="preserve">) and </w:t>
      </w:r>
      <w:r w:rsidR="005C7D23">
        <w:t>after using the eLearning courses</w:t>
      </w:r>
      <w:r w:rsidR="00947388">
        <w:t xml:space="preserve"> (</w:t>
      </w:r>
      <w:r w:rsidR="005C7D23">
        <w:t>‘after service’</w:t>
      </w:r>
      <w:r w:rsidR="00947388">
        <w:t>). The y-axis indicates the average percent scores obtained by participants, from 0% to 100%. This graph shows that on average, participants scored 7</w:t>
      </w:r>
      <w:r w:rsidR="005C7D23">
        <w:t>3.7</w:t>
      </w:r>
      <w:r w:rsidR="00947388">
        <w:t xml:space="preserve">% on </w:t>
      </w:r>
      <w:r w:rsidR="002C2F76">
        <w:t xml:space="preserve">transferable skill topics </w:t>
      </w:r>
      <w:r w:rsidR="00947388">
        <w:t xml:space="preserve">before taking the associated eLearning courses, and </w:t>
      </w:r>
      <w:r w:rsidR="002C2F76">
        <w:t>87.6</w:t>
      </w:r>
      <w:r w:rsidR="00947388">
        <w:t xml:space="preserve">% on average on the topics after taking the courses. This means that on average, participants’ self-reported </w:t>
      </w:r>
      <w:r w:rsidR="002C2F76">
        <w:t>transferable</w:t>
      </w:r>
      <w:r w:rsidR="00947388">
        <w:t xml:space="preserve"> skills increased by 1</w:t>
      </w:r>
      <w:r w:rsidR="00C60D5B">
        <w:t>3.9</w:t>
      </w:r>
      <w:r w:rsidR="00947388">
        <w:t xml:space="preserve"> percentage points after taking eLearning courses</w:t>
      </w:r>
      <w:r w:rsidR="00E75F48">
        <w:t xml:space="preserve"> related to transferable skills</w:t>
      </w:r>
      <w:r w:rsidR="00947388">
        <w:t>.</w:t>
      </w:r>
    </w:p>
    <w:p w14:paraId="65007331" w14:textId="7C686917" w:rsidR="00F33C1C" w:rsidRDefault="00F33C1C" w:rsidP="00F33C1C">
      <w:r>
        <w:t>Because the Skills for Success are foundational competencies, the five transferable skills cover many areas. CCRW’s Adaptability curriculum, for example, includes training on prioritization, time management, stress management, accountability, developing a growth mindset, and coping with change (among others). Encourage clients to develop the skills that would most benefit them by facilitating flexible, modular, and client-led learning plans.</w:t>
      </w:r>
    </w:p>
    <w:p w14:paraId="22B23223" w14:textId="5D4FFFC2" w:rsidR="00F33C1C" w:rsidRDefault="00F33C1C" w:rsidP="00F33C1C">
      <w:r>
        <w:lastRenderedPageBreak/>
        <w:t>Regardless of your curriculum topics, remember that everyone will arrive with a different level of experience. Consider offering tiered courses for learners at different levels (e.g., beginner, intermediate, and advanced). For communication skills, for example, this could include courses on the foundations of body language and non-verbal communication, and advanced training on specialized topics like negotiating business deals.</w:t>
      </w:r>
    </w:p>
    <w:p w14:paraId="77F19371" w14:textId="14B92C9B" w:rsidR="00F33C1C" w:rsidRDefault="00F33C1C" w:rsidP="00F33C1C">
      <w:r>
        <w:t>For service providers working with disability communities, provide curriculum content tailored to community needs. For example, communication courses aimed at building self-advocacy skills can support workers navigating disability disclosure and accommodations requests. Organizations are encouraged to consult with community members to develop and implement training to determine needs and collect feedback. For organizations supporting specific populations (e.g., neurodiverse jobseekers), feedback could inform training on unique topics of high value to the community or reveal accessibility considerations to improve delivery.</w:t>
      </w:r>
    </w:p>
    <w:p w14:paraId="159EBBA9" w14:textId="379AD20B" w:rsidR="00F33C1C" w:rsidRDefault="00F33C1C" w:rsidP="00F33C1C">
      <w:r>
        <w:t>Providing content in a variety of formats (e.g., text, audio, visual) is a best practice that supports clients with different learning preferences. At the same time, training should be designed with accessibility in mind, allowing users to access alternative formats of learning materials (e.g., plain text versions of documents; transcripts of videos) and to toggle off features that could interfere with assistive technologies like screen readers.</w:t>
      </w:r>
    </w:p>
    <w:p w14:paraId="557D9ED4" w14:textId="16AAFC26" w:rsidR="000E4F36" w:rsidRDefault="00F33C1C" w:rsidP="00F33C1C">
      <w:r>
        <w:t xml:space="preserve">Curriculum content is just one part of skill building. For more guidance on coaching the Skills for Success, including tips on building client-coach rapport and creating individualized training plans, service providers are encouraged to access CCRW’s </w:t>
      </w:r>
      <w:hyperlink r:id="rId16" w:history="1">
        <w:r w:rsidRPr="003F4494">
          <w:rPr>
            <w:rStyle w:val="Hyperlink"/>
          </w:rPr>
          <w:t>Coaching the Skills for Success Playbook</w:t>
        </w:r>
      </w:hyperlink>
      <w:r>
        <w:t>.</w:t>
      </w:r>
      <w:r w:rsidR="003F4494">
        <w:rPr>
          <w:rStyle w:val="EndnoteReference"/>
        </w:rPr>
        <w:endnoteReference w:id="4"/>
      </w:r>
    </w:p>
    <w:p w14:paraId="1E4DB2C7" w14:textId="58DE9048" w:rsidR="008501D5" w:rsidRDefault="008501D5">
      <w:r>
        <w:br w:type="page"/>
      </w:r>
    </w:p>
    <w:p w14:paraId="707558F7" w14:textId="52277AF6" w:rsidR="002227A9" w:rsidRPr="00613BAD" w:rsidRDefault="00B7623B" w:rsidP="000E4F36">
      <w:pPr>
        <w:pStyle w:val="Heading2"/>
      </w:pPr>
      <w:bookmarkStart w:id="10" w:name="_Toc190080425"/>
      <w:r w:rsidRPr="00613BAD">
        <w:lastRenderedPageBreak/>
        <w:t xml:space="preserve">Recommendation 2: </w:t>
      </w:r>
      <w:r w:rsidR="00550DFD" w:rsidRPr="00613BAD">
        <w:t>Support jobseekers to recognize</w:t>
      </w:r>
      <w:r w:rsidR="00493875" w:rsidRPr="00613BAD">
        <w:t xml:space="preserve"> </w:t>
      </w:r>
      <w:r w:rsidR="00550DFD" w:rsidRPr="00613BAD">
        <w:t xml:space="preserve">and </w:t>
      </w:r>
      <w:r w:rsidR="003A0C8B" w:rsidRPr="00613BAD">
        <w:t>show</w:t>
      </w:r>
      <w:r w:rsidR="00550DFD" w:rsidRPr="00613BAD">
        <w:t xml:space="preserve"> their strengths</w:t>
      </w:r>
      <w:r w:rsidR="00576C5E" w:rsidRPr="00613BAD">
        <w:t>.</w:t>
      </w:r>
      <w:bookmarkEnd w:id="10"/>
    </w:p>
    <w:p w14:paraId="73B5DA63" w14:textId="43997649" w:rsidR="009A7924" w:rsidRDefault="009A7924" w:rsidP="009A7924">
      <w:r>
        <w:t>Jobseekers often have many skills they’ve developed through education, previous work experiences, and daily life. However, sometimes individuals are not aware of all of their strengths, or don’t know how their skills can be used in workplace settings. Service providers can help clients recognize, apply, and demonstrate the skills they already possess.</w:t>
      </w:r>
    </w:p>
    <w:p w14:paraId="70EA5961" w14:textId="2288047F" w:rsidR="009A7924" w:rsidRDefault="009A7924" w:rsidP="009A7924">
      <w:r>
        <w:t>Through reflective exercises and storytelling, trainers and coaches can help clients identify skills they use in daily life and connect them to the workplace. For example, for a jobseeker who manages a busy schedule of personal health appointments and providing care to family members, coaches can encourage clients to reframe these activities as evidence of time management and prioritization skills. A jobseeker who often mediates conflict between peers could frame this as evidence of active listening and de-escalation skills.</w:t>
      </w:r>
    </w:p>
    <w:p w14:paraId="6533F922" w14:textId="1479ABC3" w:rsidR="009A7924" w:rsidRDefault="00957A98" w:rsidP="009A7924">
      <w:r w:rsidRPr="00957A98">
        <w:t>CCRW staff found that many jobseekers have developed strong transferable skills - especially adaptability - over the course of their lives.</w:t>
      </w:r>
    </w:p>
    <w:p w14:paraId="0C1F404C" w14:textId="3BA05B84" w:rsidR="00957A98" w:rsidRDefault="00957A98" w:rsidP="00957A98">
      <w:r>
        <w:t>The STAR method is one technique to turn personal strengths into narratives that apply to the workplace.</w:t>
      </w:r>
      <w:r w:rsidR="00381F84">
        <w:rPr>
          <w:rStyle w:val="EndnoteReference"/>
        </w:rPr>
        <w:endnoteReference w:id="5"/>
      </w:r>
      <w:r>
        <w:t xml:space="preserve"> In the STAR method, jobseekers break down a scenario by explaining the context of the situation, the task they took responsibility for, the actions they took to meet the goal, and the positive result they achieved. Providers can also help clients learn to interpret job descriptions to identify relevant transferable skills and coach them on how to provide supporting examples from their experiences.</w:t>
      </w:r>
    </w:p>
    <w:p w14:paraId="061F19FF" w14:textId="741F556E" w:rsidR="005052D1" w:rsidRDefault="00957A98" w:rsidP="00B1541F">
      <w:r w:rsidRPr="00957A98">
        <w:t>In addition to building on strengths, trainers and coaches can help clients recognize growth areas so that clients can select skills training that will be most valuable for their career goals.</w:t>
      </w:r>
    </w:p>
    <w:p w14:paraId="7A423AE8" w14:textId="5EFB2C56" w:rsidR="008501D5" w:rsidRDefault="008501D5">
      <w:r>
        <w:br w:type="page"/>
      </w:r>
    </w:p>
    <w:p w14:paraId="2B178B7A" w14:textId="05D49C16" w:rsidR="005052D1" w:rsidRPr="00613BAD" w:rsidRDefault="005052D1" w:rsidP="000E4F36">
      <w:pPr>
        <w:pStyle w:val="Heading2"/>
      </w:pPr>
      <w:bookmarkStart w:id="11" w:name="_Toc190080426"/>
      <w:r w:rsidRPr="00613BAD">
        <w:lastRenderedPageBreak/>
        <w:t>Recommendation 3: Educate and advocate</w:t>
      </w:r>
      <w:r w:rsidR="006D3F35" w:rsidRPr="00613BAD">
        <w:t xml:space="preserve"> to undo misconceptions and promote disability-inclusive work</w:t>
      </w:r>
      <w:r w:rsidR="00576C5E" w:rsidRPr="00613BAD">
        <w:t>.</w:t>
      </w:r>
      <w:bookmarkEnd w:id="11"/>
    </w:p>
    <w:p w14:paraId="1D8B980E" w14:textId="1EE84B22" w:rsidR="00E37800" w:rsidRDefault="00E37800" w:rsidP="00E37800">
      <w:r>
        <w:t>Community organizations and service providers have an important role to play as allies and advocates for jobseekers with disabilities. By educating employers on the diversity of skills and talents workers with disabilities can offer and helping undo common myths, providers can help advance workplace inclusion.</w:t>
      </w:r>
    </w:p>
    <w:p w14:paraId="70F23657" w14:textId="0F5507C9" w:rsidR="00E37800" w:rsidRDefault="00E37800" w:rsidP="00E37800">
      <w:r>
        <w:t>Unfortunately, biases and misconceptions persist. Employers can be reluctant to provide accommodations, uncomfortable navigating conversations about disability, fearful of risks, or misinformed about how diverse the experience of disability is. When it comes to transferable skills, we learned through Research in STEAM that some employers still paint all workers with disabilities with the same brush – for example, believing they are not capable of adapting to change, or that they are unable to solve problems on their own.</w:t>
      </w:r>
    </w:p>
    <w:p w14:paraId="228D1BB4" w14:textId="77777777" w:rsidR="00E37800" w:rsidRDefault="00E37800" w:rsidP="00E37800">
      <w:r>
        <w:t>One of the key messages for employers is that every worker is unique (whether they have a disability or not). One worker with a disability may find adapting to new processes challenging, but is highly efficient and skilled at managing their time; another may have difficulty remembering deadlines, while also being flexible and a quick learner. And, most importantly, both workers would thrive in a role that fit their strengths and provided support to remove barriers. The first worker may need nothing more than a supervisor who communicates changes proactively and clearly; the second may only need additional reminders or a task management tool.</w:t>
      </w:r>
    </w:p>
    <w:p w14:paraId="4EFB43C5" w14:textId="77777777" w:rsidR="00E37800" w:rsidRDefault="00E37800" w:rsidP="00E37800">
      <w:r>
        <w:t>Relatedly, employers have a responsibility to demonstrate transferable skills with their employees and to evaluate applicants and workers in an objective and inclusive way. As advocates, service providers who liaise between workers and employers can help both parties navigate each other’s communication styles and reach mutual understanding. Providers can also educate employers on how to evaluate skills objectively, and why it is important not to rely on ‘instinct’ or ‘gut feelings’ to inform decisions.</w:t>
      </w:r>
    </w:p>
    <w:p w14:paraId="51782B4B" w14:textId="429ED95F" w:rsidR="00E37800" w:rsidRDefault="00E37800" w:rsidP="00E37800">
      <w:r>
        <w:t>Finally, providers can be advocates for recognizing non-traditional evidence of transferable skills – the ways that life experiences outside of the workplace can cultivate strengths like resilience, critical thinking, and cooperation.</w:t>
      </w:r>
    </w:p>
    <w:p w14:paraId="18BFBC05" w14:textId="32E2BFDF" w:rsidR="00E37800" w:rsidRDefault="00E37800" w:rsidP="00B1541F">
      <w:r w:rsidRPr="00E37800">
        <w:t>By combining these recommendations for curriculum design, confidence building, and employer advocacy and pairing them with effective coaching techniques, service providers can empower jobseekers with disabilities to recognize their potential and confidently apply their skills in the workplace.</w:t>
      </w:r>
    </w:p>
    <w:p w14:paraId="3C1B0717" w14:textId="7E0EF8DD" w:rsidR="008501D5" w:rsidRDefault="008501D5">
      <w:r>
        <w:br w:type="page"/>
      </w:r>
    </w:p>
    <w:p w14:paraId="71DD8E45" w14:textId="0C278481" w:rsidR="00656283" w:rsidRPr="00613BAD" w:rsidRDefault="00656283" w:rsidP="00656283">
      <w:pPr>
        <w:pStyle w:val="Heading2"/>
      </w:pPr>
      <w:bookmarkStart w:id="12" w:name="_Toc190080427"/>
      <w:r>
        <w:lastRenderedPageBreak/>
        <w:t>Other Resources</w:t>
      </w:r>
      <w:bookmarkEnd w:id="12"/>
    </w:p>
    <w:p w14:paraId="0ADC904C" w14:textId="238D5142" w:rsidR="00576C5E" w:rsidRDefault="00A549BF">
      <w:r w:rsidRPr="00A549BF">
        <w:t>Interested in discovering more about employer disability confidence or how to coach and train the Skills for Success? Check out some of our other resources below.</w:t>
      </w:r>
    </w:p>
    <w:p w14:paraId="7CAF2E97" w14:textId="6DF5E93E" w:rsidR="00A549BF" w:rsidRDefault="00A549BF">
      <w:hyperlink r:id="rId17" w:tgtFrame="_blank" w:history="1">
        <w:r w:rsidRPr="00A549BF">
          <w:rPr>
            <w:rStyle w:val="Hyperlink"/>
          </w:rPr>
          <w:t>Learn more about CCRW’s Research here.</w:t>
        </w:r>
      </w:hyperlink>
    </w:p>
    <w:p w14:paraId="472FE1C4" w14:textId="77777777" w:rsidR="00A549BF" w:rsidRPr="00A549BF" w:rsidRDefault="00A549BF" w:rsidP="00A549BF">
      <w:hyperlink r:id="rId18" w:tgtFrame="_blank" w:history="1">
        <w:r w:rsidRPr="00A549BF">
          <w:rPr>
            <w:rStyle w:val="Hyperlink"/>
          </w:rPr>
          <w:t>Coaching the Skills for Success Playbook</w:t>
        </w:r>
      </w:hyperlink>
    </w:p>
    <w:p w14:paraId="02C79EDB" w14:textId="04B24C90" w:rsidR="00A549BF" w:rsidRDefault="00A549BF" w:rsidP="00A549BF">
      <w:r w:rsidRPr="00A549BF">
        <w:t>The SFS Playbook shares best practices for coaching and teaching the SFS with jobseekers with disabilities, including building rapport, effective instruction techniques, and using client-led approaches.</w:t>
      </w:r>
    </w:p>
    <w:p w14:paraId="59E35D6D" w14:textId="491F15F4" w:rsidR="00A549BF" w:rsidRPr="00A549BF" w:rsidRDefault="00803F9A" w:rsidP="00A549BF">
      <w:hyperlink r:id="rId19" w:tgtFrame="_blank" w:history="1">
        <w:r w:rsidRPr="00803F9A">
          <w:rPr>
            <w:rStyle w:val="Hyperlink"/>
          </w:rPr>
          <w:t>Disability Confidence Toolkit</w:t>
        </w:r>
      </w:hyperlink>
    </w:p>
    <w:p w14:paraId="574E4570" w14:textId="3E9BBC85" w:rsidR="00A549BF" w:rsidRDefault="00803F9A">
      <w:r w:rsidRPr="00803F9A">
        <w:t>The Disability Confidence Toolkit is a resource to empower and educate employers on their journey towards fostering disability confidence within their organizations.</w:t>
      </w:r>
    </w:p>
    <w:p w14:paraId="31B422FB" w14:textId="08F75904" w:rsidR="00803F9A" w:rsidRDefault="00803F9A">
      <w:hyperlink r:id="rId20" w:tgtFrame="_blank" w:history="1">
        <w:r w:rsidRPr="00803F9A">
          <w:rPr>
            <w:rStyle w:val="Hyperlink"/>
          </w:rPr>
          <w:t>Untapped Talent</w:t>
        </w:r>
      </w:hyperlink>
    </w:p>
    <w:p w14:paraId="71420C80" w14:textId="07429257" w:rsidR="00803F9A" w:rsidRDefault="00803F9A">
      <w:r w:rsidRPr="00803F9A">
        <w:rPr>
          <w:rFonts w:ascii="Tahoma" w:hAnsi="Tahoma" w:cs="Tahoma"/>
        </w:rPr>
        <w:t>﻿</w:t>
      </w:r>
      <w:r w:rsidRPr="00803F9A">
        <w:t>Untapped Talent is an online job board that connects job seekers with disabilities to meaningful employment opportunities from disability-confident employers across Canada.</w:t>
      </w:r>
    </w:p>
    <w:p w14:paraId="60079B4B" w14:textId="27AC0825" w:rsidR="008501D5" w:rsidRDefault="008501D5">
      <w:r>
        <w:br w:type="page"/>
      </w:r>
    </w:p>
    <w:p w14:paraId="1659E1D3" w14:textId="06B0072D" w:rsidR="009E20CC" w:rsidRPr="00613BAD" w:rsidRDefault="008D29D3" w:rsidP="00C84B2E">
      <w:pPr>
        <w:pStyle w:val="Heading2"/>
      </w:pPr>
      <w:bookmarkStart w:id="13" w:name="_Toc190080428"/>
      <w:r w:rsidRPr="00613BAD">
        <w:lastRenderedPageBreak/>
        <w:t>References</w:t>
      </w:r>
      <w:bookmarkEnd w:id="13"/>
    </w:p>
    <w:sectPr w:rsidR="009E20CC" w:rsidRPr="00613BAD">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0C0A3" w14:textId="77777777" w:rsidR="00AB5D0C" w:rsidRDefault="00AB5D0C" w:rsidP="00036322">
      <w:pPr>
        <w:spacing w:after="0" w:line="240" w:lineRule="auto"/>
      </w:pPr>
      <w:r>
        <w:separator/>
      </w:r>
    </w:p>
  </w:endnote>
  <w:endnote w:type="continuationSeparator" w:id="0">
    <w:p w14:paraId="17058344" w14:textId="77777777" w:rsidR="00AB5D0C" w:rsidRDefault="00AB5D0C" w:rsidP="00036322">
      <w:pPr>
        <w:spacing w:after="0" w:line="240" w:lineRule="auto"/>
      </w:pPr>
      <w:r>
        <w:continuationSeparator/>
      </w:r>
    </w:p>
  </w:endnote>
  <w:endnote w:type="continuationNotice" w:id="1">
    <w:p w14:paraId="3DE21BDF" w14:textId="77777777" w:rsidR="00AB5D0C" w:rsidRDefault="00AB5D0C">
      <w:pPr>
        <w:spacing w:after="0" w:line="240" w:lineRule="auto"/>
      </w:pPr>
    </w:p>
  </w:endnote>
  <w:endnote w:id="2">
    <w:p w14:paraId="15A26AE7" w14:textId="1BD91E81" w:rsidR="009642FA" w:rsidRPr="00C84B2E" w:rsidRDefault="00C84B2E">
      <w:pPr>
        <w:pStyle w:val="EndnoteText"/>
      </w:pPr>
      <w:r>
        <w:rPr>
          <w:rStyle w:val="EndnoteReference"/>
        </w:rPr>
        <w:endnoteRef/>
      </w:r>
      <w:r w:rsidRPr="00C84B2E">
        <w:t xml:space="preserve"> Vu, V., Lamb, C. &amp; Willoughby, R. (2019, December). I</w:t>
      </w:r>
      <w:r w:rsidRPr="00C84B2E">
        <w:rPr>
          <w:i/>
          <w:iCs/>
        </w:rPr>
        <w:t xml:space="preserve">, human: Digital and soft skills in a new economy. </w:t>
      </w:r>
      <w:r w:rsidRPr="00C84B2E">
        <w:t xml:space="preserve">Brookfield Institute for Innovation + Entrepreneurship. </w:t>
      </w:r>
      <w:hyperlink r:id="rId1" w:history="1">
        <w:r w:rsidR="009642FA" w:rsidRPr="00642A07">
          <w:rPr>
            <w:rStyle w:val="Hyperlink"/>
          </w:rPr>
          <w:t>https://dais.ca/wp-content/uploads/2023/10/I-Human-ONLINE-FA-1.pdf</w:t>
        </w:r>
      </w:hyperlink>
    </w:p>
  </w:endnote>
  <w:endnote w:id="3">
    <w:p w14:paraId="5A286FBD" w14:textId="609FACB5" w:rsidR="009642FA" w:rsidRDefault="009642FA">
      <w:pPr>
        <w:pStyle w:val="EndnoteText"/>
      </w:pPr>
      <w:r>
        <w:rPr>
          <w:rStyle w:val="EndnoteReference"/>
        </w:rPr>
        <w:endnoteRef/>
      </w:r>
      <w:r w:rsidRPr="009642FA">
        <w:rPr>
          <w:lang w:val="es-ES"/>
        </w:rPr>
        <w:t xml:space="preserve"> Lindsay, S., Cagliostro, E., Albarico, M., Mortaji, N., &amp; Karon, L. (2018). </w:t>
      </w:r>
      <w:r w:rsidRPr="009642FA">
        <w:t xml:space="preserve">A systematic review of the benefits of hiring people with disabilities. </w:t>
      </w:r>
      <w:r w:rsidRPr="009642FA">
        <w:rPr>
          <w:i/>
          <w:iCs/>
        </w:rPr>
        <w:t>Journal of Occupational Rehabilitation, 28</w:t>
      </w:r>
      <w:r w:rsidRPr="009642FA">
        <w:t xml:space="preserve">(4), 634-655. </w:t>
      </w:r>
      <w:hyperlink r:id="rId2" w:history="1">
        <w:r w:rsidRPr="00642A07">
          <w:rPr>
            <w:rStyle w:val="Hyperlink"/>
          </w:rPr>
          <w:t>https://doi.org/10.1007/s10926-018-9756-z</w:t>
        </w:r>
      </w:hyperlink>
    </w:p>
  </w:endnote>
  <w:endnote w:id="4">
    <w:p w14:paraId="12518BBB" w14:textId="688D9067" w:rsidR="00130E8A" w:rsidRDefault="003F4494">
      <w:pPr>
        <w:pStyle w:val="EndnoteText"/>
      </w:pPr>
      <w:r>
        <w:rPr>
          <w:rStyle w:val="EndnoteReference"/>
        </w:rPr>
        <w:endnoteRef/>
      </w:r>
      <w:r>
        <w:t xml:space="preserve"> </w:t>
      </w:r>
      <w:r w:rsidR="00130E8A" w:rsidRPr="00130E8A">
        <w:t xml:space="preserve">Canadian Council on Rehabilitation and Work (2024, May). </w:t>
      </w:r>
      <w:r w:rsidR="00130E8A" w:rsidRPr="00130E8A">
        <w:rPr>
          <w:i/>
          <w:iCs/>
        </w:rPr>
        <w:t>Coaching the Skills for Success Playbook.</w:t>
      </w:r>
      <w:r w:rsidR="00130E8A" w:rsidRPr="00130E8A">
        <w:t xml:space="preserve"> </w:t>
      </w:r>
      <w:hyperlink r:id="rId3" w:history="1">
        <w:r w:rsidR="00130E8A" w:rsidRPr="00642A07">
          <w:rPr>
            <w:rStyle w:val="Hyperlink"/>
          </w:rPr>
          <w:t>https://ccrw.org/wp-content/uploads/2024/05/SFS-Playbook-Accessible_English.pdf</w:t>
        </w:r>
      </w:hyperlink>
    </w:p>
  </w:endnote>
  <w:endnote w:id="5">
    <w:p w14:paraId="56F31DC2" w14:textId="460B59BC" w:rsidR="00381F84" w:rsidRDefault="00381F84">
      <w:pPr>
        <w:pStyle w:val="EndnoteText"/>
      </w:pPr>
      <w:r>
        <w:rPr>
          <w:rStyle w:val="EndnoteReference"/>
        </w:rPr>
        <w:endnoteRef/>
      </w:r>
      <w:r>
        <w:t xml:space="preserve"> </w:t>
      </w:r>
      <w:r w:rsidRPr="00381F84">
        <w:t xml:space="preserve">Massachusetts Institute of Technology (n.d.). </w:t>
      </w:r>
      <w:r w:rsidRPr="00381F84">
        <w:rPr>
          <w:i/>
          <w:iCs/>
        </w:rPr>
        <w:t>Using the STAR method for your next behavioral interview (worksheet included).</w:t>
      </w:r>
      <w:r w:rsidRPr="00381F84">
        <w:t xml:space="preserve"> </w:t>
      </w:r>
      <w:hyperlink r:id="rId4" w:history="1">
        <w:r w:rsidRPr="00642A07">
          <w:rPr>
            <w:rStyle w:val="Hyperlink"/>
          </w:rPr>
          <w:t>https://capd.mit.edu/resources/the-star-method-for-behavioral-interviews/</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83E99" w14:textId="77777777" w:rsidR="00AB5D0C" w:rsidRDefault="00AB5D0C" w:rsidP="00036322">
      <w:pPr>
        <w:spacing w:after="0" w:line="240" w:lineRule="auto"/>
      </w:pPr>
      <w:r>
        <w:separator/>
      </w:r>
    </w:p>
  </w:footnote>
  <w:footnote w:type="continuationSeparator" w:id="0">
    <w:p w14:paraId="46F4DEF3" w14:textId="77777777" w:rsidR="00AB5D0C" w:rsidRDefault="00AB5D0C" w:rsidP="00036322">
      <w:pPr>
        <w:spacing w:after="0" w:line="240" w:lineRule="auto"/>
      </w:pPr>
      <w:r>
        <w:continuationSeparator/>
      </w:r>
    </w:p>
  </w:footnote>
  <w:footnote w:type="continuationNotice" w:id="1">
    <w:p w14:paraId="6D3CE6CD" w14:textId="77777777" w:rsidR="00AB5D0C" w:rsidRDefault="00AB5D0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61952"/>
    <w:multiLevelType w:val="hybridMultilevel"/>
    <w:tmpl w:val="133C3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305B03"/>
    <w:multiLevelType w:val="hybridMultilevel"/>
    <w:tmpl w:val="ACC8E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E37F66"/>
    <w:multiLevelType w:val="hybridMultilevel"/>
    <w:tmpl w:val="80AA8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C56EA0"/>
    <w:multiLevelType w:val="hybridMultilevel"/>
    <w:tmpl w:val="861079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B196D1A"/>
    <w:multiLevelType w:val="hybridMultilevel"/>
    <w:tmpl w:val="BD84E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F7C1D9A"/>
    <w:multiLevelType w:val="hybridMultilevel"/>
    <w:tmpl w:val="E0CA4C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5259C4"/>
    <w:multiLevelType w:val="hybridMultilevel"/>
    <w:tmpl w:val="3E6E8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EC1507"/>
    <w:multiLevelType w:val="hybridMultilevel"/>
    <w:tmpl w:val="B4E89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732E59"/>
    <w:multiLevelType w:val="hybridMultilevel"/>
    <w:tmpl w:val="AFE44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4377FE"/>
    <w:multiLevelType w:val="hybridMultilevel"/>
    <w:tmpl w:val="4510D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5270E3"/>
    <w:multiLevelType w:val="hybridMultilevel"/>
    <w:tmpl w:val="514E7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C247A80"/>
    <w:multiLevelType w:val="hybridMultilevel"/>
    <w:tmpl w:val="9022F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85023F"/>
    <w:multiLevelType w:val="hybridMultilevel"/>
    <w:tmpl w:val="C3529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314288B"/>
    <w:multiLevelType w:val="hybridMultilevel"/>
    <w:tmpl w:val="0EE85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B386B77"/>
    <w:multiLevelType w:val="hybridMultilevel"/>
    <w:tmpl w:val="E5C8C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2177802">
    <w:abstractNumId w:val="3"/>
  </w:num>
  <w:num w:numId="2" w16cid:durableId="352732750">
    <w:abstractNumId w:val="10"/>
  </w:num>
  <w:num w:numId="3" w16cid:durableId="925191531">
    <w:abstractNumId w:val="4"/>
  </w:num>
  <w:num w:numId="4" w16cid:durableId="1120537065">
    <w:abstractNumId w:val="5"/>
  </w:num>
  <w:num w:numId="5" w16cid:durableId="1765759107">
    <w:abstractNumId w:val="8"/>
  </w:num>
  <w:num w:numId="6" w16cid:durableId="1076786796">
    <w:abstractNumId w:val="6"/>
  </w:num>
  <w:num w:numId="7" w16cid:durableId="1029531724">
    <w:abstractNumId w:val="9"/>
  </w:num>
  <w:num w:numId="8" w16cid:durableId="967473255">
    <w:abstractNumId w:val="11"/>
  </w:num>
  <w:num w:numId="9" w16cid:durableId="1538354517">
    <w:abstractNumId w:val="1"/>
  </w:num>
  <w:num w:numId="10" w16cid:durableId="1195509009">
    <w:abstractNumId w:val="2"/>
  </w:num>
  <w:num w:numId="11" w16cid:durableId="43724578">
    <w:abstractNumId w:val="13"/>
  </w:num>
  <w:num w:numId="12" w16cid:durableId="703604484">
    <w:abstractNumId w:val="14"/>
  </w:num>
  <w:num w:numId="13" w16cid:durableId="1435635325">
    <w:abstractNumId w:val="0"/>
  </w:num>
  <w:num w:numId="14" w16cid:durableId="1926650835">
    <w:abstractNumId w:val="12"/>
  </w:num>
  <w:num w:numId="15" w16cid:durableId="19513571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922"/>
    <w:rsid w:val="00000CBF"/>
    <w:rsid w:val="00000EA3"/>
    <w:rsid w:val="000063D2"/>
    <w:rsid w:val="00012341"/>
    <w:rsid w:val="000200F9"/>
    <w:rsid w:val="00021575"/>
    <w:rsid w:val="000222A1"/>
    <w:rsid w:val="00023BFB"/>
    <w:rsid w:val="0002424A"/>
    <w:rsid w:val="000318DD"/>
    <w:rsid w:val="00032D5E"/>
    <w:rsid w:val="00036322"/>
    <w:rsid w:val="00044F89"/>
    <w:rsid w:val="000467DE"/>
    <w:rsid w:val="00054D80"/>
    <w:rsid w:val="00055BB4"/>
    <w:rsid w:val="00056059"/>
    <w:rsid w:val="000571AE"/>
    <w:rsid w:val="00060746"/>
    <w:rsid w:val="00061091"/>
    <w:rsid w:val="000632CA"/>
    <w:rsid w:val="00063436"/>
    <w:rsid w:val="00066AA1"/>
    <w:rsid w:val="00075625"/>
    <w:rsid w:val="0007593D"/>
    <w:rsid w:val="00082E3F"/>
    <w:rsid w:val="00082FD0"/>
    <w:rsid w:val="000836BC"/>
    <w:rsid w:val="00083ADC"/>
    <w:rsid w:val="0008457D"/>
    <w:rsid w:val="000848C2"/>
    <w:rsid w:val="000854EE"/>
    <w:rsid w:val="000901FC"/>
    <w:rsid w:val="0009491F"/>
    <w:rsid w:val="00094B60"/>
    <w:rsid w:val="00095239"/>
    <w:rsid w:val="000A4CC0"/>
    <w:rsid w:val="000A6434"/>
    <w:rsid w:val="000B2524"/>
    <w:rsid w:val="000B2855"/>
    <w:rsid w:val="000B627D"/>
    <w:rsid w:val="000B68EC"/>
    <w:rsid w:val="000B7FB3"/>
    <w:rsid w:val="000C5398"/>
    <w:rsid w:val="000C619B"/>
    <w:rsid w:val="000D2A51"/>
    <w:rsid w:val="000D3B10"/>
    <w:rsid w:val="000D3EA6"/>
    <w:rsid w:val="000D47ED"/>
    <w:rsid w:val="000E1BD9"/>
    <w:rsid w:val="000E47D7"/>
    <w:rsid w:val="000E4F36"/>
    <w:rsid w:val="000E5758"/>
    <w:rsid w:val="000E596A"/>
    <w:rsid w:val="000F0C8A"/>
    <w:rsid w:val="000F3481"/>
    <w:rsid w:val="000F4E5B"/>
    <w:rsid w:val="000F7727"/>
    <w:rsid w:val="00100279"/>
    <w:rsid w:val="001007F7"/>
    <w:rsid w:val="00101DDD"/>
    <w:rsid w:val="00102312"/>
    <w:rsid w:val="00104887"/>
    <w:rsid w:val="00104A2F"/>
    <w:rsid w:val="0010623E"/>
    <w:rsid w:val="00106387"/>
    <w:rsid w:val="001119A5"/>
    <w:rsid w:val="0011204F"/>
    <w:rsid w:val="00115345"/>
    <w:rsid w:val="00115E51"/>
    <w:rsid w:val="001168D9"/>
    <w:rsid w:val="00123833"/>
    <w:rsid w:val="001248D2"/>
    <w:rsid w:val="00124D54"/>
    <w:rsid w:val="0012609B"/>
    <w:rsid w:val="001267AE"/>
    <w:rsid w:val="0013040A"/>
    <w:rsid w:val="00130E8A"/>
    <w:rsid w:val="00131B5E"/>
    <w:rsid w:val="0013251E"/>
    <w:rsid w:val="00133D21"/>
    <w:rsid w:val="001343AE"/>
    <w:rsid w:val="00143A87"/>
    <w:rsid w:val="001448DC"/>
    <w:rsid w:val="00145C0D"/>
    <w:rsid w:val="00150060"/>
    <w:rsid w:val="001526CB"/>
    <w:rsid w:val="00152B5E"/>
    <w:rsid w:val="001535D1"/>
    <w:rsid w:val="00154C71"/>
    <w:rsid w:val="00155834"/>
    <w:rsid w:val="0015662A"/>
    <w:rsid w:val="00165481"/>
    <w:rsid w:val="00173791"/>
    <w:rsid w:val="00174261"/>
    <w:rsid w:val="00175897"/>
    <w:rsid w:val="00175F60"/>
    <w:rsid w:val="00175FA0"/>
    <w:rsid w:val="001768F6"/>
    <w:rsid w:val="001775D5"/>
    <w:rsid w:val="00180625"/>
    <w:rsid w:val="00180C98"/>
    <w:rsid w:val="001817FC"/>
    <w:rsid w:val="00186665"/>
    <w:rsid w:val="001867F9"/>
    <w:rsid w:val="0019460E"/>
    <w:rsid w:val="00197E46"/>
    <w:rsid w:val="001A300D"/>
    <w:rsid w:val="001A40EF"/>
    <w:rsid w:val="001A5D13"/>
    <w:rsid w:val="001A73E2"/>
    <w:rsid w:val="001A7415"/>
    <w:rsid w:val="001A7F04"/>
    <w:rsid w:val="001B5908"/>
    <w:rsid w:val="001C03B0"/>
    <w:rsid w:val="001C184F"/>
    <w:rsid w:val="001C7B55"/>
    <w:rsid w:val="001D0303"/>
    <w:rsid w:val="001D10B7"/>
    <w:rsid w:val="001D6567"/>
    <w:rsid w:val="001D72F8"/>
    <w:rsid w:val="001D7E6F"/>
    <w:rsid w:val="001E0373"/>
    <w:rsid w:val="001E4AE4"/>
    <w:rsid w:val="001E756C"/>
    <w:rsid w:val="001F1AC2"/>
    <w:rsid w:val="001F1C7D"/>
    <w:rsid w:val="001F26CF"/>
    <w:rsid w:val="001F425E"/>
    <w:rsid w:val="00201A7D"/>
    <w:rsid w:val="0020591B"/>
    <w:rsid w:val="002072D7"/>
    <w:rsid w:val="002102AA"/>
    <w:rsid w:val="00210EA9"/>
    <w:rsid w:val="00211217"/>
    <w:rsid w:val="002119F9"/>
    <w:rsid w:val="00215234"/>
    <w:rsid w:val="0021776D"/>
    <w:rsid w:val="00220237"/>
    <w:rsid w:val="002206B9"/>
    <w:rsid w:val="00221253"/>
    <w:rsid w:val="002227A9"/>
    <w:rsid w:val="00225BC9"/>
    <w:rsid w:val="00230107"/>
    <w:rsid w:val="00233D8E"/>
    <w:rsid w:val="00234608"/>
    <w:rsid w:val="00241520"/>
    <w:rsid w:val="002417DD"/>
    <w:rsid w:val="0024363D"/>
    <w:rsid w:val="002445E7"/>
    <w:rsid w:val="0024602F"/>
    <w:rsid w:val="00247078"/>
    <w:rsid w:val="00247DD1"/>
    <w:rsid w:val="00250FA9"/>
    <w:rsid w:val="00251F79"/>
    <w:rsid w:val="002521CE"/>
    <w:rsid w:val="002527DD"/>
    <w:rsid w:val="002527FC"/>
    <w:rsid w:val="00256ABD"/>
    <w:rsid w:val="0025752F"/>
    <w:rsid w:val="002603FF"/>
    <w:rsid w:val="00260E09"/>
    <w:rsid w:val="002626E0"/>
    <w:rsid w:val="002629A1"/>
    <w:rsid w:val="00264B15"/>
    <w:rsid w:val="00266796"/>
    <w:rsid w:val="00271B50"/>
    <w:rsid w:val="002749CD"/>
    <w:rsid w:val="00277D8C"/>
    <w:rsid w:val="0028320F"/>
    <w:rsid w:val="00290829"/>
    <w:rsid w:val="00290ED3"/>
    <w:rsid w:val="0029548A"/>
    <w:rsid w:val="00297800"/>
    <w:rsid w:val="00297EEE"/>
    <w:rsid w:val="002A035C"/>
    <w:rsid w:val="002A11E6"/>
    <w:rsid w:val="002A4853"/>
    <w:rsid w:val="002A7006"/>
    <w:rsid w:val="002B28DD"/>
    <w:rsid w:val="002B4F2B"/>
    <w:rsid w:val="002B6977"/>
    <w:rsid w:val="002C017F"/>
    <w:rsid w:val="002C0D70"/>
    <w:rsid w:val="002C2F76"/>
    <w:rsid w:val="002C3281"/>
    <w:rsid w:val="002C3C7A"/>
    <w:rsid w:val="002C4AD4"/>
    <w:rsid w:val="002C53D8"/>
    <w:rsid w:val="002C61CE"/>
    <w:rsid w:val="002D0BC5"/>
    <w:rsid w:val="002D488F"/>
    <w:rsid w:val="002D6F93"/>
    <w:rsid w:val="002E446C"/>
    <w:rsid w:val="002E72A7"/>
    <w:rsid w:val="002F0865"/>
    <w:rsid w:val="002F0BCB"/>
    <w:rsid w:val="002F67F9"/>
    <w:rsid w:val="002F7340"/>
    <w:rsid w:val="002F766D"/>
    <w:rsid w:val="00301AD1"/>
    <w:rsid w:val="00310001"/>
    <w:rsid w:val="00310C2B"/>
    <w:rsid w:val="00312BAD"/>
    <w:rsid w:val="00315B95"/>
    <w:rsid w:val="0031650D"/>
    <w:rsid w:val="00317A1D"/>
    <w:rsid w:val="003240D6"/>
    <w:rsid w:val="00330F23"/>
    <w:rsid w:val="00331E10"/>
    <w:rsid w:val="00335ADF"/>
    <w:rsid w:val="00337D76"/>
    <w:rsid w:val="0034126F"/>
    <w:rsid w:val="00341769"/>
    <w:rsid w:val="00345E47"/>
    <w:rsid w:val="00347086"/>
    <w:rsid w:val="00347285"/>
    <w:rsid w:val="00350FE1"/>
    <w:rsid w:val="003603A3"/>
    <w:rsid w:val="00363AA6"/>
    <w:rsid w:val="00364178"/>
    <w:rsid w:val="003653E9"/>
    <w:rsid w:val="00365565"/>
    <w:rsid w:val="00367596"/>
    <w:rsid w:val="0036764B"/>
    <w:rsid w:val="003807D4"/>
    <w:rsid w:val="003807F3"/>
    <w:rsid w:val="00381F84"/>
    <w:rsid w:val="0038202C"/>
    <w:rsid w:val="0038259B"/>
    <w:rsid w:val="00383CAD"/>
    <w:rsid w:val="00383FD2"/>
    <w:rsid w:val="00385574"/>
    <w:rsid w:val="00391BBE"/>
    <w:rsid w:val="0039340B"/>
    <w:rsid w:val="003A0C8B"/>
    <w:rsid w:val="003A15ED"/>
    <w:rsid w:val="003A323A"/>
    <w:rsid w:val="003A4A35"/>
    <w:rsid w:val="003A4C45"/>
    <w:rsid w:val="003B1367"/>
    <w:rsid w:val="003B5157"/>
    <w:rsid w:val="003D1793"/>
    <w:rsid w:val="003D1E16"/>
    <w:rsid w:val="003D2BD6"/>
    <w:rsid w:val="003E02EF"/>
    <w:rsid w:val="003E124E"/>
    <w:rsid w:val="003E4C44"/>
    <w:rsid w:val="003E7632"/>
    <w:rsid w:val="003F0C03"/>
    <w:rsid w:val="003F1877"/>
    <w:rsid w:val="003F1DBC"/>
    <w:rsid w:val="003F1E87"/>
    <w:rsid w:val="003F4494"/>
    <w:rsid w:val="004012A3"/>
    <w:rsid w:val="00402FC3"/>
    <w:rsid w:val="004057A0"/>
    <w:rsid w:val="00411D75"/>
    <w:rsid w:val="00413B02"/>
    <w:rsid w:val="004150C8"/>
    <w:rsid w:val="00416DC3"/>
    <w:rsid w:val="00421B9F"/>
    <w:rsid w:val="004228B2"/>
    <w:rsid w:val="00423552"/>
    <w:rsid w:val="004310A8"/>
    <w:rsid w:val="004343D4"/>
    <w:rsid w:val="00437AD7"/>
    <w:rsid w:val="00441833"/>
    <w:rsid w:val="004424AD"/>
    <w:rsid w:val="00445363"/>
    <w:rsid w:val="0044DDC7"/>
    <w:rsid w:val="00460445"/>
    <w:rsid w:val="0046289E"/>
    <w:rsid w:val="00463716"/>
    <w:rsid w:val="00463F09"/>
    <w:rsid w:val="0046501B"/>
    <w:rsid w:val="00467490"/>
    <w:rsid w:val="004722B5"/>
    <w:rsid w:val="00475F94"/>
    <w:rsid w:val="00485BB9"/>
    <w:rsid w:val="004924E6"/>
    <w:rsid w:val="0049359E"/>
    <w:rsid w:val="00493875"/>
    <w:rsid w:val="00494830"/>
    <w:rsid w:val="004A1C19"/>
    <w:rsid w:val="004A3656"/>
    <w:rsid w:val="004C157A"/>
    <w:rsid w:val="004C47C0"/>
    <w:rsid w:val="004C5CF6"/>
    <w:rsid w:val="004D2D59"/>
    <w:rsid w:val="004D6602"/>
    <w:rsid w:val="004D7FD7"/>
    <w:rsid w:val="004E1109"/>
    <w:rsid w:val="004E2A7C"/>
    <w:rsid w:val="004E3608"/>
    <w:rsid w:val="004E6569"/>
    <w:rsid w:val="004F2A96"/>
    <w:rsid w:val="004F759A"/>
    <w:rsid w:val="004F7ACC"/>
    <w:rsid w:val="005047F6"/>
    <w:rsid w:val="00505111"/>
    <w:rsid w:val="005052D1"/>
    <w:rsid w:val="00511922"/>
    <w:rsid w:val="00514179"/>
    <w:rsid w:val="0051538F"/>
    <w:rsid w:val="00517AE8"/>
    <w:rsid w:val="00521869"/>
    <w:rsid w:val="00521A8F"/>
    <w:rsid w:val="0052316A"/>
    <w:rsid w:val="00525BE3"/>
    <w:rsid w:val="00526B39"/>
    <w:rsid w:val="00530E9A"/>
    <w:rsid w:val="00550DFD"/>
    <w:rsid w:val="005527E9"/>
    <w:rsid w:val="00553967"/>
    <w:rsid w:val="0055538D"/>
    <w:rsid w:val="005557AA"/>
    <w:rsid w:val="005569E1"/>
    <w:rsid w:val="00567BA5"/>
    <w:rsid w:val="00570768"/>
    <w:rsid w:val="0057106B"/>
    <w:rsid w:val="00576421"/>
    <w:rsid w:val="00576C5E"/>
    <w:rsid w:val="005836D3"/>
    <w:rsid w:val="0058785A"/>
    <w:rsid w:val="00587EB9"/>
    <w:rsid w:val="00591383"/>
    <w:rsid w:val="005915CC"/>
    <w:rsid w:val="005922D4"/>
    <w:rsid w:val="0059310D"/>
    <w:rsid w:val="00593178"/>
    <w:rsid w:val="005A0554"/>
    <w:rsid w:val="005A077E"/>
    <w:rsid w:val="005A3488"/>
    <w:rsid w:val="005B2733"/>
    <w:rsid w:val="005B3B8B"/>
    <w:rsid w:val="005B7907"/>
    <w:rsid w:val="005C0C82"/>
    <w:rsid w:val="005C2E4F"/>
    <w:rsid w:val="005C7D23"/>
    <w:rsid w:val="005D2842"/>
    <w:rsid w:val="005D65D3"/>
    <w:rsid w:val="005D79C9"/>
    <w:rsid w:val="005E155E"/>
    <w:rsid w:val="005E19C5"/>
    <w:rsid w:val="005E3B7B"/>
    <w:rsid w:val="005E69FD"/>
    <w:rsid w:val="005F0439"/>
    <w:rsid w:val="005F0E5C"/>
    <w:rsid w:val="00601052"/>
    <w:rsid w:val="00601271"/>
    <w:rsid w:val="00601B55"/>
    <w:rsid w:val="00603191"/>
    <w:rsid w:val="00605182"/>
    <w:rsid w:val="0061029B"/>
    <w:rsid w:val="0061061C"/>
    <w:rsid w:val="0061173F"/>
    <w:rsid w:val="00613BAD"/>
    <w:rsid w:val="0061552F"/>
    <w:rsid w:val="00617027"/>
    <w:rsid w:val="00617E8B"/>
    <w:rsid w:val="006229CF"/>
    <w:rsid w:val="00622B91"/>
    <w:rsid w:val="006234A7"/>
    <w:rsid w:val="0062383B"/>
    <w:rsid w:val="0062411E"/>
    <w:rsid w:val="00625072"/>
    <w:rsid w:val="00627EBB"/>
    <w:rsid w:val="00631002"/>
    <w:rsid w:val="00632A3F"/>
    <w:rsid w:val="006360A4"/>
    <w:rsid w:val="00640E95"/>
    <w:rsid w:val="0064479D"/>
    <w:rsid w:val="00652B2E"/>
    <w:rsid w:val="00655B5A"/>
    <w:rsid w:val="00656283"/>
    <w:rsid w:val="00675B18"/>
    <w:rsid w:val="00676D32"/>
    <w:rsid w:val="00677296"/>
    <w:rsid w:val="006867A5"/>
    <w:rsid w:val="006929F2"/>
    <w:rsid w:val="0069419F"/>
    <w:rsid w:val="00697289"/>
    <w:rsid w:val="006A14F3"/>
    <w:rsid w:val="006A51C1"/>
    <w:rsid w:val="006A5E9A"/>
    <w:rsid w:val="006B248D"/>
    <w:rsid w:val="006B2C72"/>
    <w:rsid w:val="006B3D83"/>
    <w:rsid w:val="006B4F08"/>
    <w:rsid w:val="006B5136"/>
    <w:rsid w:val="006B6B2F"/>
    <w:rsid w:val="006C0933"/>
    <w:rsid w:val="006C1C61"/>
    <w:rsid w:val="006C6044"/>
    <w:rsid w:val="006D0730"/>
    <w:rsid w:val="006D2E51"/>
    <w:rsid w:val="006D39D2"/>
    <w:rsid w:val="006D3C11"/>
    <w:rsid w:val="006D3E5B"/>
    <w:rsid w:val="006D3F35"/>
    <w:rsid w:val="006D50C6"/>
    <w:rsid w:val="006E1C1F"/>
    <w:rsid w:val="006E2E75"/>
    <w:rsid w:val="006E3C92"/>
    <w:rsid w:val="006E5906"/>
    <w:rsid w:val="006E77A1"/>
    <w:rsid w:val="006E79D1"/>
    <w:rsid w:val="00710090"/>
    <w:rsid w:val="00711FAB"/>
    <w:rsid w:val="007120D3"/>
    <w:rsid w:val="00717F2E"/>
    <w:rsid w:val="00721881"/>
    <w:rsid w:val="00727A86"/>
    <w:rsid w:val="007312D1"/>
    <w:rsid w:val="00732AB5"/>
    <w:rsid w:val="00746B11"/>
    <w:rsid w:val="00752332"/>
    <w:rsid w:val="007554C5"/>
    <w:rsid w:val="00757DF7"/>
    <w:rsid w:val="0077079C"/>
    <w:rsid w:val="00770BBB"/>
    <w:rsid w:val="00770E5D"/>
    <w:rsid w:val="00771CA0"/>
    <w:rsid w:val="0077277E"/>
    <w:rsid w:val="0077328F"/>
    <w:rsid w:val="00777ADF"/>
    <w:rsid w:val="00785A65"/>
    <w:rsid w:val="0079152D"/>
    <w:rsid w:val="00795203"/>
    <w:rsid w:val="00795DAA"/>
    <w:rsid w:val="007979BF"/>
    <w:rsid w:val="007A2917"/>
    <w:rsid w:val="007A2C24"/>
    <w:rsid w:val="007A42C6"/>
    <w:rsid w:val="007A434C"/>
    <w:rsid w:val="007A5043"/>
    <w:rsid w:val="007B00D9"/>
    <w:rsid w:val="007B07B7"/>
    <w:rsid w:val="007B4CB3"/>
    <w:rsid w:val="007B531E"/>
    <w:rsid w:val="007B7C83"/>
    <w:rsid w:val="007C311A"/>
    <w:rsid w:val="007C6A17"/>
    <w:rsid w:val="007C740D"/>
    <w:rsid w:val="007D20B4"/>
    <w:rsid w:val="007D20F1"/>
    <w:rsid w:val="007D4BB3"/>
    <w:rsid w:val="007D51CC"/>
    <w:rsid w:val="007E44C4"/>
    <w:rsid w:val="007E74AC"/>
    <w:rsid w:val="007F6311"/>
    <w:rsid w:val="00800395"/>
    <w:rsid w:val="0080198E"/>
    <w:rsid w:val="00801F02"/>
    <w:rsid w:val="00802C13"/>
    <w:rsid w:val="00803F9A"/>
    <w:rsid w:val="00804A79"/>
    <w:rsid w:val="00804A8A"/>
    <w:rsid w:val="0081102B"/>
    <w:rsid w:val="008170D6"/>
    <w:rsid w:val="0081798B"/>
    <w:rsid w:val="00823A33"/>
    <w:rsid w:val="008405CC"/>
    <w:rsid w:val="00843626"/>
    <w:rsid w:val="00844130"/>
    <w:rsid w:val="00845FFF"/>
    <w:rsid w:val="008501D5"/>
    <w:rsid w:val="0085085F"/>
    <w:rsid w:val="00851D15"/>
    <w:rsid w:val="008531E9"/>
    <w:rsid w:val="00855C84"/>
    <w:rsid w:val="00863209"/>
    <w:rsid w:val="00870DAD"/>
    <w:rsid w:val="0087283A"/>
    <w:rsid w:val="008734EE"/>
    <w:rsid w:val="00873A64"/>
    <w:rsid w:val="00880349"/>
    <w:rsid w:val="008813A8"/>
    <w:rsid w:val="008829A0"/>
    <w:rsid w:val="00894360"/>
    <w:rsid w:val="00895186"/>
    <w:rsid w:val="00895F5D"/>
    <w:rsid w:val="008966A1"/>
    <w:rsid w:val="00896985"/>
    <w:rsid w:val="00897DFF"/>
    <w:rsid w:val="008A7A93"/>
    <w:rsid w:val="008B00DC"/>
    <w:rsid w:val="008B14AA"/>
    <w:rsid w:val="008B2E20"/>
    <w:rsid w:val="008C14EC"/>
    <w:rsid w:val="008C1670"/>
    <w:rsid w:val="008C18FB"/>
    <w:rsid w:val="008C1C9F"/>
    <w:rsid w:val="008C45DB"/>
    <w:rsid w:val="008C5702"/>
    <w:rsid w:val="008C61C2"/>
    <w:rsid w:val="008C72D3"/>
    <w:rsid w:val="008D00FC"/>
    <w:rsid w:val="008D240B"/>
    <w:rsid w:val="008D28D4"/>
    <w:rsid w:val="008D29D3"/>
    <w:rsid w:val="008D368A"/>
    <w:rsid w:val="008E1F97"/>
    <w:rsid w:val="008E37B6"/>
    <w:rsid w:val="008F0560"/>
    <w:rsid w:val="008F07CF"/>
    <w:rsid w:val="008F1554"/>
    <w:rsid w:val="008F18BE"/>
    <w:rsid w:val="008F1DDA"/>
    <w:rsid w:val="008F33F7"/>
    <w:rsid w:val="009009DA"/>
    <w:rsid w:val="009035A7"/>
    <w:rsid w:val="00904AD8"/>
    <w:rsid w:val="00907BFE"/>
    <w:rsid w:val="00907C3D"/>
    <w:rsid w:val="0091267B"/>
    <w:rsid w:val="00920685"/>
    <w:rsid w:val="0092331E"/>
    <w:rsid w:val="0092612E"/>
    <w:rsid w:val="00933091"/>
    <w:rsid w:val="00936739"/>
    <w:rsid w:val="00940D2B"/>
    <w:rsid w:val="00941608"/>
    <w:rsid w:val="00942805"/>
    <w:rsid w:val="00942CF9"/>
    <w:rsid w:val="00947388"/>
    <w:rsid w:val="00950CDA"/>
    <w:rsid w:val="009534BE"/>
    <w:rsid w:val="00953EA2"/>
    <w:rsid w:val="00957A98"/>
    <w:rsid w:val="009642FA"/>
    <w:rsid w:val="00970624"/>
    <w:rsid w:val="00976CF4"/>
    <w:rsid w:val="00984C9F"/>
    <w:rsid w:val="00984F86"/>
    <w:rsid w:val="00990BD7"/>
    <w:rsid w:val="0099336A"/>
    <w:rsid w:val="00995125"/>
    <w:rsid w:val="00997E98"/>
    <w:rsid w:val="009A06E8"/>
    <w:rsid w:val="009A47A2"/>
    <w:rsid w:val="009A4FBC"/>
    <w:rsid w:val="009A58D2"/>
    <w:rsid w:val="009A7924"/>
    <w:rsid w:val="009B14E2"/>
    <w:rsid w:val="009B23A3"/>
    <w:rsid w:val="009B27A0"/>
    <w:rsid w:val="009B2EA2"/>
    <w:rsid w:val="009B56FA"/>
    <w:rsid w:val="009C0623"/>
    <w:rsid w:val="009D24A0"/>
    <w:rsid w:val="009D681B"/>
    <w:rsid w:val="009D6C80"/>
    <w:rsid w:val="009D723E"/>
    <w:rsid w:val="009D78C0"/>
    <w:rsid w:val="009E20CC"/>
    <w:rsid w:val="009E3B1D"/>
    <w:rsid w:val="009E4748"/>
    <w:rsid w:val="009E5DB6"/>
    <w:rsid w:val="009F04A3"/>
    <w:rsid w:val="009F2470"/>
    <w:rsid w:val="009F2DB5"/>
    <w:rsid w:val="009F34FE"/>
    <w:rsid w:val="009F4A57"/>
    <w:rsid w:val="009F7F33"/>
    <w:rsid w:val="00A03660"/>
    <w:rsid w:val="00A04723"/>
    <w:rsid w:val="00A06BE6"/>
    <w:rsid w:val="00A20031"/>
    <w:rsid w:val="00A33B63"/>
    <w:rsid w:val="00A34198"/>
    <w:rsid w:val="00A34D5E"/>
    <w:rsid w:val="00A41A9B"/>
    <w:rsid w:val="00A42290"/>
    <w:rsid w:val="00A43203"/>
    <w:rsid w:val="00A432F5"/>
    <w:rsid w:val="00A451BC"/>
    <w:rsid w:val="00A50236"/>
    <w:rsid w:val="00A529A7"/>
    <w:rsid w:val="00A535F2"/>
    <w:rsid w:val="00A54096"/>
    <w:rsid w:val="00A549BF"/>
    <w:rsid w:val="00A557AA"/>
    <w:rsid w:val="00A5642D"/>
    <w:rsid w:val="00A63C27"/>
    <w:rsid w:val="00A63E22"/>
    <w:rsid w:val="00A66575"/>
    <w:rsid w:val="00A703A6"/>
    <w:rsid w:val="00A72838"/>
    <w:rsid w:val="00A74C53"/>
    <w:rsid w:val="00A768D8"/>
    <w:rsid w:val="00A76D12"/>
    <w:rsid w:val="00A801A0"/>
    <w:rsid w:val="00A81510"/>
    <w:rsid w:val="00A819CE"/>
    <w:rsid w:val="00A829E8"/>
    <w:rsid w:val="00A8383A"/>
    <w:rsid w:val="00A867A6"/>
    <w:rsid w:val="00A9296F"/>
    <w:rsid w:val="00A92E92"/>
    <w:rsid w:val="00A9785A"/>
    <w:rsid w:val="00A97BDA"/>
    <w:rsid w:val="00AA09BE"/>
    <w:rsid w:val="00AA122A"/>
    <w:rsid w:val="00AA1F08"/>
    <w:rsid w:val="00AA2CFD"/>
    <w:rsid w:val="00AB5D0C"/>
    <w:rsid w:val="00AC125D"/>
    <w:rsid w:val="00AC4204"/>
    <w:rsid w:val="00AC5375"/>
    <w:rsid w:val="00AC7F46"/>
    <w:rsid w:val="00AD0A40"/>
    <w:rsid w:val="00AD1D17"/>
    <w:rsid w:val="00AD3E50"/>
    <w:rsid w:val="00AD5635"/>
    <w:rsid w:val="00AE2BA5"/>
    <w:rsid w:val="00AE2DED"/>
    <w:rsid w:val="00AE4B1C"/>
    <w:rsid w:val="00AE7401"/>
    <w:rsid w:val="00AF3565"/>
    <w:rsid w:val="00AF359D"/>
    <w:rsid w:val="00AF360B"/>
    <w:rsid w:val="00AF49F5"/>
    <w:rsid w:val="00AF59AF"/>
    <w:rsid w:val="00B05CDB"/>
    <w:rsid w:val="00B068DF"/>
    <w:rsid w:val="00B114FC"/>
    <w:rsid w:val="00B1541F"/>
    <w:rsid w:val="00B15849"/>
    <w:rsid w:val="00B15A62"/>
    <w:rsid w:val="00B16E50"/>
    <w:rsid w:val="00B17945"/>
    <w:rsid w:val="00B179ED"/>
    <w:rsid w:val="00B3517A"/>
    <w:rsid w:val="00B35E0A"/>
    <w:rsid w:val="00B36001"/>
    <w:rsid w:val="00B51F4F"/>
    <w:rsid w:val="00B534F7"/>
    <w:rsid w:val="00B55C0A"/>
    <w:rsid w:val="00B60493"/>
    <w:rsid w:val="00B67523"/>
    <w:rsid w:val="00B71204"/>
    <w:rsid w:val="00B739EE"/>
    <w:rsid w:val="00B761E3"/>
    <w:rsid w:val="00B7623B"/>
    <w:rsid w:val="00B803B1"/>
    <w:rsid w:val="00B80B13"/>
    <w:rsid w:val="00B84008"/>
    <w:rsid w:val="00B91744"/>
    <w:rsid w:val="00BA28BB"/>
    <w:rsid w:val="00BB0DBA"/>
    <w:rsid w:val="00BB3AB8"/>
    <w:rsid w:val="00BB5C37"/>
    <w:rsid w:val="00BB5DF7"/>
    <w:rsid w:val="00BC0AFC"/>
    <w:rsid w:val="00BC4FDB"/>
    <w:rsid w:val="00BC5C23"/>
    <w:rsid w:val="00BC6240"/>
    <w:rsid w:val="00BD24FA"/>
    <w:rsid w:val="00BD53E9"/>
    <w:rsid w:val="00BD5AEF"/>
    <w:rsid w:val="00BD5F11"/>
    <w:rsid w:val="00BD709F"/>
    <w:rsid w:val="00BE02BA"/>
    <w:rsid w:val="00BE0471"/>
    <w:rsid w:val="00BE1546"/>
    <w:rsid w:val="00BE3E88"/>
    <w:rsid w:val="00BE4808"/>
    <w:rsid w:val="00BE48EC"/>
    <w:rsid w:val="00BE7BB6"/>
    <w:rsid w:val="00BF12CD"/>
    <w:rsid w:val="00BF2B2E"/>
    <w:rsid w:val="00BF478D"/>
    <w:rsid w:val="00BF6303"/>
    <w:rsid w:val="00BF63ED"/>
    <w:rsid w:val="00C02603"/>
    <w:rsid w:val="00C04620"/>
    <w:rsid w:val="00C05FD5"/>
    <w:rsid w:val="00C0721D"/>
    <w:rsid w:val="00C0758E"/>
    <w:rsid w:val="00C108EE"/>
    <w:rsid w:val="00C11FC0"/>
    <w:rsid w:val="00C1309A"/>
    <w:rsid w:val="00C14671"/>
    <w:rsid w:val="00C17184"/>
    <w:rsid w:val="00C21635"/>
    <w:rsid w:val="00C26F97"/>
    <w:rsid w:val="00C30AD3"/>
    <w:rsid w:val="00C335C8"/>
    <w:rsid w:val="00C34089"/>
    <w:rsid w:val="00C351C1"/>
    <w:rsid w:val="00C40D04"/>
    <w:rsid w:val="00C4616E"/>
    <w:rsid w:val="00C5093F"/>
    <w:rsid w:val="00C57ED5"/>
    <w:rsid w:val="00C60D5B"/>
    <w:rsid w:val="00C61DD8"/>
    <w:rsid w:val="00C64935"/>
    <w:rsid w:val="00C665A9"/>
    <w:rsid w:val="00C670B6"/>
    <w:rsid w:val="00C72749"/>
    <w:rsid w:val="00C7392B"/>
    <w:rsid w:val="00C73ED6"/>
    <w:rsid w:val="00C74AF3"/>
    <w:rsid w:val="00C74D15"/>
    <w:rsid w:val="00C8076D"/>
    <w:rsid w:val="00C844D8"/>
    <w:rsid w:val="00C84534"/>
    <w:rsid w:val="00C849B8"/>
    <w:rsid w:val="00C84B2E"/>
    <w:rsid w:val="00C86445"/>
    <w:rsid w:val="00C90431"/>
    <w:rsid w:val="00C938E7"/>
    <w:rsid w:val="00C93F20"/>
    <w:rsid w:val="00C941A9"/>
    <w:rsid w:val="00C95737"/>
    <w:rsid w:val="00CB1164"/>
    <w:rsid w:val="00CB34F8"/>
    <w:rsid w:val="00CB4CD7"/>
    <w:rsid w:val="00CB5DCD"/>
    <w:rsid w:val="00CC02DF"/>
    <w:rsid w:val="00CC41D7"/>
    <w:rsid w:val="00CC5596"/>
    <w:rsid w:val="00CC55B4"/>
    <w:rsid w:val="00CD317D"/>
    <w:rsid w:val="00CD35CA"/>
    <w:rsid w:val="00CD43F2"/>
    <w:rsid w:val="00CD4586"/>
    <w:rsid w:val="00CE13C2"/>
    <w:rsid w:val="00CF4436"/>
    <w:rsid w:val="00CF7AB0"/>
    <w:rsid w:val="00D0042A"/>
    <w:rsid w:val="00D03398"/>
    <w:rsid w:val="00D042E0"/>
    <w:rsid w:val="00D05558"/>
    <w:rsid w:val="00D13EDB"/>
    <w:rsid w:val="00D13FBA"/>
    <w:rsid w:val="00D14802"/>
    <w:rsid w:val="00D179F3"/>
    <w:rsid w:val="00D23B1A"/>
    <w:rsid w:val="00D32AC5"/>
    <w:rsid w:val="00D344CA"/>
    <w:rsid w:val="00D3489B"/>
    <w:rsid w:val="00D37FC6"/>
    <w:rsid w:val="00D408BE"/>
    <w:rsid w:val="00D414BF"/>
    <w:rsid w:val="00D42E51"/>
    <w:rsid w:val="00D433F1"/>
    <w:rsid w:val="00D45562"/>
    <w:rsid w:val="00D47728"/>
    <w:rsid w:val="00D50699"/>
    <w:rsid w:val="00D50BD3"/>
    <w:rsid w:val="00D51676"/>
    <w:rsid w:val="00D635A9"/>
    <w:rsid w:val="00D65407"/>
    <w:rsid w:val="00D67E17"/>
    <w:rsid w:val="00D82634"/>
    <w:rsid w:val="00D83723"/>
    <w:rsid w:val="00D84090"/>
    <w:rsid w:val="00D84155"/>
    <w:rsid w:val="00D85919"/>
    <w:rsid w:val="00D878BE"/>
    <w:rsid w:val="00D9010C"/>
    <w:rsid w:val="00D95005"/>
    <w:rsid w:val="00D96A31"/>
    <w:rsid w:val="00D97CE9"/>
    <w:rsid w:val="00DA3EAE"/>
    <w:rsid w:val="00DB4FA8"/>
    <w:rsid w:val="00DC1979"/>
    <w:rsid w:val="00DD0F27"/>
    <w:rsid w:val="00DD6169"/>
    <w:rsid w:val="00DD7C53"/>
    <w:rsid w:val="00DD7F3B"/>
    <w:rsid w:val="00DE1E43"/>
    <w:rsid w:val="00DE1EA8"/>
    <w:rsid w:val="00DE4057"/>
    <w:rsid w:val="00DE448F"/>
    <w:rsid w:val="00DE7167"/>
    <w:rsid w:val="00DE7B5B"/>
    <w:rsid w:val="00DF12E1"/>
    <w:rsid w:val="00DF1BA4"/>
    <w:rsid w:val="00DF3828"/>
    <w:rsid w:val="00E011C6"/>
    <w:rsid w:val="00E03A9C"/>
    <w:rsid w:val="00E055D6"/>
    <w:rsid w:val="00E06114"/>
    <w:rsid w:val="00E10925"/>
    <w:rsid w:val="00E12E41"/>
    <w:rsid w:val="00E1455F"/>
    <w:rsid w:val="00E14B0C"/>
    <w:rsid w:val="00E150DD"/>
    <w:rsid w:val="00E17999"/>
    <w:rsid w:val="00E22CFB"/>
    <w:rsid w:val="00E37800"/>
    <w:rsid w:val="00E40C40"/>
    <w:rsid w:val="00E41AD0"/>
    <w:rsid w:val="00E41CCB"/>
    <w:rsid w:val="00E43D26"/>
    <w:rsid w:val="00E45BEC"/>
    <w:rsid w:val="00E47937"/>
    <w:rsid w:val="00E5709F"/>
    <w:rsid w:val="00E6576C"/>
    <w:rsid w:val="00E65B19"/>
    <w:rsid w:val="00E665C2"/>
    <w:rsid w:val="00E722C0"/>
    <w:rsid w:val="00E75C28"/>
    <w:rsid w:val="00E75F48"/>
    <w:rsid w:val="00E76CB6"/>
    <w:rsid w:val="00E83583"/>
    <w:rsid w:val="00E838BA"/>
    <w:rsid w:val="00E86818"/>
    <w:rsid w:val="00E869DD"/>
    <w:rsid w:val="00E96A5C"/>
    <w:rsid w:val="00EA045B"/>
    <w:rsid w:val="00EA067A"/>
    <w:rsid w:val="00EA7C03"/>
    <w:rsid w:val="00EB22E2"/>
    <w:rsid w:val="00EB518D"/>
    <w:rsid w:val="00EB57AF"/>
    <w:rsid w:val="00EC18A7"/>
    <w:rsid w:val="00EC36F6"/>
    <w:rsid w:val="00EC6B23"/>
    <w:rsid w:val="00EE1885"/>
    <w:rsid w:val="00EE554D"/>
    <w:rsid w:val="00EE5556"/>
    <w:rsid w:val="00EE7550"/>
    <w:rsid w:val="00EF10BE"/>
    <w:rsid w:val="00EF38CF"/>
    <w:rsid w:val="00EF3DE1"/>
    <w:rsid w:val="00EF53F5"/>
    <w:rsid w:val="00EF73DF"/>
    <w:rsid w:val="00F00CD9"/>
    <w:rsid w:val="00F020B9"/>
    <w:rsid w:val="00F025B0"/>
    <w:rsid w:val="00F04A0C"/>
    <w:rsid w:val="00F10AAD"/>
    <w:rsid w:val="00F121C9"/>
    <w:rsid w:val="00F124A1"/>
    <w:rsid w:val="00F1385A"/>
    <w:rsid w:val="00F14228"/>
    <w:rsid w:val="00F14DD9"/>
    <w:rsid w:val="00F16F4A"/>
    <w:rsid w:val="00F2233E"/>
    <w:rsid w:val="00F22DE2"/>
    <w:rsid w:val="00F25557"/>
    <w:rsid w:val="00F31238"/>
    <w:rsid w:val="00F33C1C"/>
    <w:rsid w:val="00F37DB7"/>
    <w:rsid w:val="00F52AA6"/>
    <w:rsid w:val="00F53B40"/>
    <w:rsid w:val="00F55207"/>
    <w:rsid w:val="00F60A8F"/>
    <w:rsid w:val="00F64345"/>
    <w:rsid w:val="00F6673D"/>
    <w:rsid w:val="00F677F1"/>
    <w:rsid w:val="00F718DC"/>
    <w:rsid w:val="00F7528C"/>
    <w:rsid w:val="00F800A4"/>
    <w:rsid w:val="00F84E40"/>
    <w:rsid w:val="00F84F88"/>
    <w:rsid w:val="00F91A25"/>
    <w:rsid w:val="00F9462C"/>
    <w:rsid w:val="00F94E26"/>
    <w:rsid w:val="00F94E85"/>
    <w:rsid w:val="00F95FEE"/>
    <w:rsid w:val="00FA1844"/>
    <w:rsid w:val="00FA25A9"/>
    <w:rsid w:val="00FA29F8"/>
    <w:rsid w:val="00FA3E1A"/>
    <w:rsid w:val="00FA5EC8"/>
    <w:rsid w:val="00FA60D3"/>
    <w:rsid w:val="00FB236A"/>
    <w:rsid w:val="00FB2542"/>
    <w:rsid w:val="00FB2B34"/>
    <w:rsid w:val="00FB5B5F"/>
    <w:rsid w:val="00FC04F2"/>
    <w:rsid w:val="00FC153F"/>
    <w:rsid w:val="00FC39A5"/>
    <w:rsid w:val="00FC3E6D"/>
    <w:rsid w:val="00FC4AF8"/>
    <w:rsid w:val="00FC5FEE"/>
    <w:rsid w:val="00FC625B"/>
    <w:rsid w:val="00FC76E9"/>
    <w:rsid w:val="00FD0E72"/>
    <w:rsid w:val="00FD2678"/>
    <w:rsid w:val="00FD4E55"/>
    <w:rsid w:val="00FD4FA9"/>
    <w:rsid w:val="00FD7EE3"/>
    <w:rsid w:val="00FE03A0"/>
    <w:rsid w:val="00FE1B9B"/>
    <w:rsid w:val="00FE3735"/>
    <w:rsid w:val="00FE4075"/>
    <w:rsid w:val="00FE7595"/>
    <w:rsid w:val="020424B8"/>
    <w:rsid w:val="02BB6822"/>
    <w:rsid w:val="1040135D"/>
    <w:rsid w:val="10C9B223"/>
    <w:rsid w:val="13A33DD5"/>
    <w:rsid w:val="158094E0"/>
    <w:rsid w:val="1DA04D6D"/>
    <w:rsid w:val="2720E7B1"/>
    <w:rsid w:val="2CD438E8"/>
    <w:rsid w:val="32451876"/>
    <w:rsid w:val="3432B00A"/>
    <w:rsid w:val="384A2293"/>
    <w:rsid w:val="3A3D7F93"/>
    <w:rsid w:val="3DBB6258"/>
    <w:rsid w:val="3EC4F403"/>
    <w:rsid w:val="40D06221"/>
    <w:rsid w:val="5084AE39"/>
    <w:rsid w:val="5364F137"/>
    <w:rsid w:val="54EE98BA"/>
    <w:rsid w:val="6D0987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48F0AB"/>
  <w15:chartTrackingRefBased/>
  <w15:docId w15:val="{009856E4-15DF-432B-80D4-38F90C595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19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119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119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19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19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19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19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19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19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9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119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119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19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19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19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19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19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1922"/>
    <w:rPr>
      <w:rFonts w:eastAsiaTheme="majorEastAsia" w:cstheme="majorBidi"/>
      <w:color w:val="272727" w:themeColor="text1" w:themeTint="D8"/>
    </w:rPr>
  </w:style>
  <w:style w:type="paragraph" w:styleId="Title">
    <w:name w:val="Title"/>
    <w:basedOn w:val="Normal"/>
    <w:next w:val="Normal"/>
    <w:link w:val="TitleChar"/>
    <w:uiPriority w:val="10"/>
    <w:qFormat/>
    <w:rsid w:val="005119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19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19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19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1922"/>
    <w:pPr>
      <w:spacing w:before="160"/>
      <w:jc w:val="center"/>
    </w:pPr>
    <w:rPr>
      <w:i/>
      <w:iCs/>
      <w:color w:val="404040" w:themeColor="text1" w:themeTint="BF"/>
    </w:rPr>
  </w:style>
  <w:style w:type="character" w:customStyle="1" w:styleId="QuoteChar">
    <w:name w:val="Quote Char"/>
    <w:basedOn w:val="DefaultParagraphFont"/>
    <w:link w:val="Quote"/>
    <w:uiPriority w:val="29"/>
    <w:rsid w:val="00511922"/>
    <w:rPr>
      <w:i/>
      <w:iCs/>
      <w:color w:val="404040" w:themeColor="text1" w:themeTint="BF"/>
    </w:rPr>
  </w:style>
  <w:style w:type="paragraph" w:styleId="ListParagraph">
    <w:name w:val="List Paragraph"/>
    <w:basedOn w:val="Normal"/>
    <w:uiPriority w:val="34"/>
    <w:qFormat/>
    <w:rsid w:val="00511922"/>
    <w:pPr>
      <w:ind w:left="720"/>
      <w:contextualSpacing/>
    </w:pPr>
  </w:style>
  <w:style w:type="character" w:styleId="IntenseEmphasis">
    <w:name w:val="Intense Emphasis"/>
    <w:basedOn w:val="DefaultParagraphFont"/>
    <w:uiPriority w:val="21"/>
    <w:qFormat/>
    <w:rsid w:val="00511922"/>
    <w:rPr>
      <w:i/>
      <w:iCs/>
      <w:color w:val="0F4761" w:themeColor="accent1" w:themeShade="BF"/>
    </w:rPr>
  </w:style>
  <w:style w:type="paragraph" w:styleId="IntenseQuote">
    <w:name w:val="Intense Quote"/>
    <w:basedOn w:val="Normal"/>
    <w:next w:val="Normal"/>
    <w:link w:val="IntenseQuoteChar"/>
    <w:uiPriority w:val="30"/>
    <w:qFormat/>
    <w:rsid w:val="005119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1922"/>
    <w:rPr>
      <w:i/>
      <w:iCs/>
      <w:color w:val="0F4761" w:themeColor="accent1" w:themeShade="BF"/>
    </w:rPr>
  </w:style>
  <w:style w:type="character" w:styleId="IntenseReference">
    <w:name w:val="Intense Reference"/>
    <w:basedOn w:val="DefaultParagraphFont"/>
    <w:uiPriority w:val="32"/>
    <w:qFormat/>
    <w:rsid w:val="00511922"/>
    <w:rPr>
      <w:b/>
      <w:bCs/>
      <w:smallCaps/>
      <w:color w:val="0F4761" w:themeColor="accent1" w:themeShade="BF"/>
      <w:spacing w:val="5"/>
    </w:rPr>
  </w:style>
  <w:style w:type="character" w:styleId="CommentReference">
    <w:name w:val="annotation reference"/>
    <w:basedOn w:val="DefaultParagraphFont"/>
    <w:uiPriority w:val="99"/>
    <w:semiHidden/>
    <w:unhideWhenUsed/>
    <w:rsid w:val="00BD5F11"/>
    <w:rPr>
      <w:sz w:val="16"/>
      <w:szCs w:val="16"/>
    </w:rPr>
  </w:style>
  <w:style w:type="paragraph" w:styleId="CommentText">
    <w:name w:val="annotation text"/>
    <w:basedOn w:val="Normal"/>
    <w:link w:val="CommentTextChar"/>
    <w:uiPriority w:val="99"/>
    <w:unhideWhenUsed/>
    <w:rsid w:val="00BD5F11"/>
    <w:pPr>
      <w:spacing w:line="240" w:lineRule="auto"/>
    </w:pPr>
    <w:rPr>
      <w:sz w:val="20"/>
      <w:szCs w:val="20"/>
    </w:rPr>
  </w:style>
  <w:style w:type="character" w:customStyle="1" w:styleId="CommentTextChar">
    <w:name w:val="Comment Text Char"/>
    <w:basedOn w:val="DefaultParagraphFont"/>
    <w:link w:val="CommentText"/>
    <w:uiPriority w:val="99"/>
    <w:rsid w:val="00BD5F11"/>
    <w:rPr>
      <w:sz w:val="20"/>
      <w:szCs w:val="20"/>
    </w:rPr>
  </w:style>
  <w:style w:type="character" w:styleId="Hyperlink">
    <w:name w:val="Hyperlink"/>
    <w:basedOn w:val="DefaultParagraphFont"/>
    <w:uiPriority w:val="99"/>
    <w:unhideWhenUsed/>
    <w:rsid w:val="00BD5F11"/>
    <w:rPr>
      <w:color w:val="467886" w:themeColor="hyperlink"/>
      <w:u w:val="single"/>
    </w:rPr>
  </w:style>
  <w:style w:type="paragraph" w:styleId="CommentSubject">
    <w:name w:val="annotation subject"/>
    <w:basedOn w:val="CommentText"/>
    <w:next w:val="CommentText"/>
    <w:link w:val="CommentSubjectChar"/>
    <w:uiPriority w:val="99"/>
    <w:semiHidden/>
    <w:unhideWhenUsed/>
    <w:rsid w:val="00175F60"/>
    <w:rPr>
      <w:b/>
      <w:bCs/>
    </w:rPr>
  </w:style>
  <w:style w:type="character" w:customStyle="1" w:styleId="CommentSubjectChar">
    <w:name w:val="Comment Subject Char"/>
    <w:basedOn w:val="CommentTextChar"/>
    <w:link w:val="CommentSubject"/>
    <w:uiPriority w:val="99"/>
    <w:semiHidden/>
    <w:rsid w:val="00175F60"/>
    <w:rPr>
      <w:b/>
      <w:bCs/>
      <w:sz w:val="20"/>
      <w:szCs w:val="20"/>
    </w:rPr>
  </w:style>
  <w:style w:type="paragraph" w:styleId="EndnoteText">
    <w:name w:val="endnote text"/>
    <w:basedOn w:val="Normal"/>
    <w:link w:val="EndnoteTextChar"/>
    <w:uiPriority w:val="99"/>
    <w:unhideWhenUsed/>
    <w:rsid w:val="00036322"/>
    <w:pPr>
      <w:spacing w:after="0" w:line="240" w:lineRule="auto"/>
    </w:pPr>
    <w:rPr>
      <w:sz w:val="20"/>
      <w:szCs w:val="20"/>
    </w:rPr>
  </w:style>
  <w:style w:type="character" w:customStyle="1" w:styleId="EndnoteTextChar">
    <w:name w:val="Endnote Text Char"/>
    <w:basedOn w:val="DefaultParagraphFont"/>
    <w:link w:val="EndnoteText"/>
    <w:uiPriority w:val="99"/>
    <w:rsid w:val="00036322"/>
    <w:rPr>
      <w:sz w:val="20"/>
      <w:szCs w:val="20"/>
    </w:rPr>
  </w:style>
  <w:style w:type="character" w:styleId="EndnoteReference">
    <w:name w:val="endnote reference"/>
    <w:basedOn w:val="DefaultParagraphFont"/>
    <w:uiPriority w:val="99"/>
    <w:unhideWhenUsed/>
    <w:rsid w:val="00036322"/>
    <w:rPr>
      <w:vertAlign w:val="superscript"/>
    </w:rPr>
  </w:style>
  <w:style w:type="paragraph" w:styleId="FootnoteText">
    <w:name w:val="footnote text"/>
    <w:basedOn w:val="Normal"/>
    <w:link w:val="FootnoteTextChar"/>
    <w:uiPriority w:val="99"/>
    <w:unhideWhenUsed/>
    <w:rsid w:val="00BD24FA"/>
    <w:pPr>
      <w:spacing w:after="0" w:line="240" w:lineRule="auto"/>
    </w:pPr>
    <w:rPr>
      <w:sz w:val="20"/>
      <w:szCs w:val="20"/>
      <w:lang w:val="en-CA"/>
    </w:rPr>
  </w:style>
  <w:style w:type="character" w:customStyle="1" w:styleId="FootnoteTextChar">
    <w:name w:val="Footnote Text Char"/>
    <w:basedOn w:val="DefaultParagraphFont"/>
    <w:link w:val="FootnoteText"/>
    <w:uiPriority w:val="99"/>
    <w:rsid w:val="00BD24FA"/>
    <w:rPr>
      <w:sz w:val="20"/>
      <w:szCs w:val="20"/>
      <w:lang w:val="en-CA"/>
    </w:rPr>
  </w:style>
  <w:style w:type="character" w:styleId="UnresolvedMention">
    <w:name w:val="Unresolved Mention"/>
    <w:basedOn w:val="DefaultParagraphFont"/>
    <w:uiPriority w:val="99"/>
    <w:semiHidden/>
    <w:unhideWhenUsed/>
    <w:rsid w:val="00BD24FA"/>
    <w:rPr>
      <w:color w:val="605E5C"/>
      <w:shd w:val="clear" w:color="auto" w:fill="E1DFDD"/>
    </w:rPr>
  </w:style>
  <w:style w:type="paragraph" w:styleId="Header">
    <w:name w:val="header"/>
    <w:basedOn w:val="Normal"/>
    <w:link w:val="HeaderChar"/>
    <w:uiPriority w:val="99"/>
    <w:semiHidden/>
    <w:unhideWhenUsed/>
    <w:rsid w:val="0099336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9336A"/>
  </w:style>
  <w:style w:type="paragraph" w:styleId="Footer">
    <w:name w:val="footer"/>
    <w:basedOn w:val="Normal"/>
    <w:link w:val="FooterChar"/>
    <w:uiPriority w:val="99"/>
    <w:semiHidden/>
    <w:unhideWhenUsed/>
    <w:rsid w:val="0099336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9336A"/>
  </w:style>
  <w:style w:type="paragraph" w:styleId="Revision">
    <w:name w:val="Revision"/>
    <w:hidden/>
    <w:uiPriority w:val="99"/>
    <w:semiHidden/>
    <w:rsid w:val="005E19C5"/>
    <w:pPr>
      <w:spacing w:after="0" w:line="240" w:lineRule="auto"/>
    </w:pPr>
  </w:style>
  <w:style w:type="character" w:styleId="FollowedHyperlink">
    <w:name w:val="FollowedHyperlink"/>
    <w:basedOn w:val="DefaultParagraphFont"/>
    <w:uiPriority w:val="99"/>
    <w:semiHidden/>
    <w:unhideWhenUsed/>
    <w:rsid w:val="00CD317D"/>
    <w:rPr>
      <w:color w:val="96607D" w:themeColor="followedHyperlink"/>
      <w:u w:val="single"/>
    </w:rPr>
  </w:style>
  <w:style w:type="paragraph" w:styleId="TOC1">
    <w:name w:val="toc 1"/>
    <w:basedOn w:val="Normal"/>
    <w:next w:val="Normal"/>
    <w:autoRedefine/>
    <w:uiPriority w:val="39"/>
    <w:unhideWhenUsed/>
    <w:rsid w:val="002527FC"/>
    <w:pPr>
      <w:spacing w:after="100"/>
    </w:pPr>
  </w:style>
  <w:style w:type="paragraph" w:styleId="TOC2">
    <w:name w:val="toc 2"/>
    <w:basedOn w:val="Normal"/>
    <w:next w:val="Normal"/>
    <w:autoRedefine/>
    <w:uiPriority w:val="39"/>
    <w:unhideWhenUsed/>
    <w:rsid w:val="002527FC"/>
    <w:pPr>
      <w:spacing w:after="100"/>
      <w:ind w:left="220"/>
    </w:pPr>
  </w:style>
  <w:style w:type="paragraph" w:styleId="TOC3">
    <w:name w:val="toc 3"/>
    <w:basedOn w:val="Normal"/>
    <w:next w:val="Normal"/>
    <w:autoRedefine/>
    <w:uiPriority w:val="39"/>
    <w:unhideWhenUsed/>
    <w:rsid w:val="00FE1B9B"/>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1146">
      <w:bodyDiv w:val="1"/>
      <w:marLeft w:val="0"/>
      <w:marRight w:val="0"/>
      <w:marTop w:val="0"/>
      <w:marBottom w:val="0"/>
      <w:divBdr>
        <w:top w:val="none" w:sz="0" w:space="0" w:color="auto"/>
        <w:left w:val="none" w:sz="0" w:space="0" w:color="auto"/>
        <w:bottom w:val="none" w:sz="0" w:space="0" w:color="auto"/>
        <w:right w:val="none" w:sz="0" w:space="0" w:color="auto"/>
      </w:divBdr>
    </w:div>
    <w:div w:id="37825982">
      <w:bodyDiv w:val="1"/>
      <w:marLeft w:val="0"/>
      <w:marRight w:val="0"/>
      <w:marTop w:val="0"/>
      <w:marBottom w:val="0"/>
      <w:divBdr>
        <w:top w:val="none" w:sz="0" w:space="0" w:color="auto"/>
        <w:left w:val="none" w:sz="0" w:space="0" w:color="auto"/>
        <w:bottom w:val="none" w:sz="0" w:space="0" w:color="auto"/>
        <w:right w:val="none" w:sz="0" w:space="0" w:color="auto"/>
      </w:divBdr>
    </w:div>
    <w:div w:id="47605760">
      <w:bodyDiv w:val="1"/>
      <w:marLeft w:val="0"/>
      <w:marRight w:val="0"/>
      <w:marTop w:val="0"/>
      <w:marBottom w:val="0"/>
      <w:divBdr>
        <w:top w:val="none" w:sz="0" w:space="0" w:color="auto"/>
        <w:left w:val="none" w:sz="0" w:space="0" w:color="auto"/>
        <w:bottom w:val="none" w:sz="0" w:space="0" w:color="auto"/>
        <w:right w:val="none" w:sz="0" w:space="0" w:color="auto"/>
      </w:divBdr>
    </w:div>
    <w:div w:id="167331532">
      <w:bodyDiv w:val="1"/>
      <w:marLeft w:val="0"/>
      <w:marRight w:val="0"/>
      <w:marTop w:val="0"/>
      <w:marBottom w:val="0"/>
      <w:divBdr>
        <w:top w:val="none" w:sz="0" w:space="0" w:color="auto"/>
        <w:left w:val="none" w:sz="0" w:space="0" w:color="auto"/>
        <w:bottom w:val="none" w:sz="0" w:space="0" w:color="auto"/>
        <w:right w:val="none" w:sz="0" w:space="0" w:color="auto"/>
      </w:divBdr>
    </w:div>
    <w:div w:id="171993358">
      <w:bodyDiv w:val="1"/>
      <w:marLeft w:val="0"/>
      <w:marRight w:val="0"/>
      <w:marTop w:val="0"/>
      <w:marBottom w:val="0"/>
      <w:divBdr>
        <w:top w:val="none" w:sz="0" w:space="0" w:color="auto"/>
        <w:left w:val="none" w:sz="0" w:space="0" w:color="auto"/>
        <w:bottom w:val="none" w:sz="0" w:space="0" w:color="auto"/>
        <w:right w:val="none" w:sz="0" w:space="0" w:color="auto"/>
      </w:divBdr>
    </w:div>
    <w:div w:id="313413104">
      <w:bodyDiv w:val="1"/>
      <w:marLeft w:val="0"/>
      <w:marRight w:val="0"/>
      <w:marTop w:val="0"/>
      <w:marBottom w:val="0"/>
      <w:divBdr>
        <w:top w:val="none" w:sz="0" w:space="0" w:color="auto"/>
        <w:left w:val="none" w:sz="0" w:space="0" w:color="auto"/>
        <w:bottom w:val="none" w:sz="0" w:space="0" w:color="auto"/>
        <w:right w:val="none" w:sz="0" w:space="0" w:color="auto"/>
      </w:divBdr>
    </w:div>
    <w:div w:id="414593332">
      <w:bodyDiv w:val="1"/>
      <w:marLeft w:val="0"/>
      <w:marRight w:val="0"/>
      <w:marTop w:val="0"/>
      <w:marBottom w:val="0"/>
      <w:divBdr>
        <w:top w:val="none" w:sz="0" w:space="0" w:color="auto"/>
        <w:left w:val="none" w:sz="0" w:space="0" w:color="auto"/>
        <w:bottom w:val="none" w:sz="0" w:space="0" w:color="auto"/>
        <w:right w:val="none" w:sz="0" w:space="0" w:color="auto"/>
      </w:divBdr>
    </w:div>
    <w:div w:id="468976612">
      <w:bodyDiv w:val="1"/>
      <w:marLeft w:val="0"/>
      <w:marRight w:val="0"/>
      <w:marTop w:val="0"/>
      <w:marBottom w:val="0"/>
      <w:divBdr>
        <w:top w:val="none" w:sz="0" w:space="0" w:color="auto"/>
        <w:left w:val="none" w:sz="0" w:space="0" w:color="auto"/>
        <w:bottom w:val="none" w:sz="0" w:space="0" w:color="auto"/>
        <w:right w:val="none" w:sz="0" w:space="0" w:color="auto"/>
      </w:divBdr>
    </w:div>
    <w:div w:id="472917399">
      <w:bodyDiv w:val="1"/>
      <w:marLeft w:val="0"/>
      <w:marRight w:val="0"/>
      <w:marTop w:val="0"/>
      <w:marBottom w:val="0"/>
      <w:divBdr>
        <w:top w:val="none" w:sz="0" w:space="0" w:color="auto"/>
        <w:left w:val="none" w:sz="0" w:space="0" w:color="auto"/>
        <w:bottom w:val="none" w:sz="0" w:space="0" w:color="auto"/>
        <w:right w:val="none" w:sz="0" w:space="0" w:color="auto"/>
      </w:divBdr>
    </w:div>
    <w:div w:id="653605037">
      <w:bodyDiv w:val="1"/>
      <w:marLeft w:val="0"/>
      <w:marRight w:val="0"/>
      <w:marTop w:val="0"/>
      <w:marBottom w:val="0"/>
      <w:divBdr>
        <w:top w:val="none" w:sz="0" w:space="0" w:color="auto"/>
        <w:left w:val="none" w:sz="0" w:space="0" w:color="auto"/>
        <w:bottom w:val="none" w:sz="0" w:space="0" w:color="auto"/>
        <w:right w:val="none" w:sz="0" w:space="0" w:color="auto"/>
      </w:divBdr>
    </w:div>
    <w:div w:id="832649678">
      <w:bodyDiv w:val="1"/>
      <w:marLeft w:val="0"/>
      <w:marRight w:val="0"/>
      <w:marTop w:val="0"/>
      <w:marBottom w:val="0"/>
      <w:divBdr>
        <w:top w:val="none" w:sz="0" w:space="0" w:color="auto"/>
        <w:left w:val="none" w:sz="0" w:space="0" w:color="auto"/>
        <w:bottom w:val="none" w:sz="0" w:space="0" w:color="auto"/>
        <w:right w:val="none" w:sz="0" w:space="0" w:color="auto"/>
      </w:divBdr>
    </w:div>
    <w:div w:id="920987369">
      <w:bodyDiv w:val="1"/>
      <w:marLeft w:val="0"/>
      <w:marRight w:val="0"/>
      <w:marTop w:val="0"/>
      <w:marBottom w:val="0"/>
      <w:divBdr>
        <w:top w:val="none" w:sz="0" w:space="0" w:color="auto"/>
        <w:left w:val="none" w:sz="0" w:space="0" w:color="auto"/>
        <w:bottom w:val="none" w:sz="0" w:space="0" w:color="auto"/>
        <w:right w:val="none" w:sz="0" w:space="0" w:color="auto"/>
      </w:divBdr>
    </w:div>
    <w:div w:id="926764750">
      <w:bodyDiv w:val="1"/>
      <w:marLeft w:val="0"/>
      <w:marRight w:val="0"/>
      <w:marTop w:val="0"/>
      <w:marBottom w:val="0"/>
      <w:divBdr>
        <w:top w:val="none" w:sz="0" w:space="0" w:color="auto"/>
        <w:left w:val="none" w:sz="0" w:space="0" w:color="auto"/>
        <w:bottom w:val="none" w:sz="0" w:space="0" w:color="auto"/>
        <w:right w:val="none" w:sz="0" w:space="0" w:color="auto"/>
      </w:divBdr>
    </w:div>
    <w:div w:id="1025322881">
      <w:bodyDiv w:val="1"/>
      <w:marLeft w:val="0"/>
      <w:marRight w:val="0"/>
      <w:marTop w:val="0"/>
      <w:marBottom w:val="0"/>
      <w:divBdr>
        <w:top w:val="none" w:sz="0" w:space="0" w:color="auto"/>
        <w:left w:val="none" w:sz="0" w:space="0" w:color="auto"/>
        <w:bottom w:val="none" w:sz="0" w:space="0" w:color="auto"/>
        <w:right w:val="none" w:sz="0" w:space="0" w:color="auto"/>
      </w:divBdr>
    </w:div>
    <w:div w:id="1118182659">
      <w:bodyDiv w:val="1"/>
      <w:marLeft w:val="0"/>
      <w:marRight w:val="0"/>
      <w:marTop w:val="0"/>
      <w:marBottom w:val="0"/>
      <w:divBdr>
        <w:top w:val="none" w:sz="0" w:space="0" w:color="auto"/>
        <w:left w:val="none" w:sz="0" w:space="0" w:color="auto"/>
        <w:bottom w:val="none" w:sz="0" w:space="0" w:color="auto"/>
        <w:right w:val="none" w:sz="0" w:space="0" w:color="auto"/>
      </w:divBdr>
    </w:div>
    <w:div w:id="1128664740">
      <w:bodyDiv w:val="1"/>
      <w:marLeft w:val="0"/>
      <w:marRight w:val="0"/>
      <w:marTop w:val="0"/>
      <w:marBottom w:val="0"/>
      <w:divBdr>
        <w:top w:val="none" w:sz="0" w:space="0" w:color="auto"/>
        <w:left w:val="none" w:sz="0" w:space="0" w:color="auto"/>
        <w:bottom w:val="none" w:sz="0" w:space="0" w:color="auto"/>
        <w:right w:val="none" w:sz="0" w:space="0" w:color="auto"/>
      </w:divBdr>
    </w:div>
    <w:div w:id="1150975706">
      <w:bodyDiv w:val="1"/>
      <w:marLeft w:val="0"/>
      <w:marRight w:val="0"/>
      <w:marTop w:val="0"/>
      <w:marBottom w:val="0"/>
      <w:divBdr>
        <w:top w:val="none" w:sz="0" w:space="0" w:color="auto"/>
        <w:left w:val="none" w:sz="0" w:space="0" w:color="auto"/>
        <w:bottom w:val="none" w:sz="0" w:space="0" w:color="auto"/>
        <w:right w:val="none" w:sz="0" w:space="0" w:color="auto"/>
      </w:divBdr>
    </w:div>
    <w:div w:id="1305893675">
      <w:bodyDiv w:val="1"/>
      <w:marLeft w:val="0"/>
      <w:marRight w:val="0"/>
      <w:marTop w:val="0"/>
      <w:marBottom w:val="0"/>
      <w:divBdr>
        <w:top w:val="none" w:sz="0" w:space="0" w:color="auto"/>
        <w:left w:val="none" w:sz="0" w:space="0" w:color="auto"/>
        <w:bottom w:val="none" w:sz="0" w:space="0" w:color="auto"/>
        <w:right w:val="none" w:sz="0" w:space="0" w:color="auto"/>
      </w:divBdr>
    </w:div>
    <w:div w:id="1332903532">
      <w:bodyDiv w:val="1"/>
      <w:marLeft w:val="0"/>
      <w:marRight w:val="0"/>
      <w:marTop w:val="0"/>
      <w:marBottom w:val="0"/>
      <w:divBdr>
        <w:top w:val="none" w:sz="0" w:space="0" w:color="auto"/>
        <w:left w:val="none" w:sz="0" w:space="0" w:color="auto"/>
        <w:bottom w:val="none" w:sz="0" w:space="0" w:color="auto"/>
        <w:right w:val="none" w:sz="0" w:space="0" w:color="auto"/>
      </w:divBdr>
    </w:div>
    <w:div w:id="1339769778">
      <w:bodyDiv w:val="1"/>
      <w:marLeft w:val="0"/>
      <w:marRight w:val="0"/>
      <w:marTop w:val="0"/>
      <w:marBottom w:val="0"/>
      <w:divBdr>
        <w:top w:val="none" w:sz="0" w:space="0" w:color="auto"/>
        <w:left w:val="none" w:sz="0" w:space="0" w:color="auto"/>
        <w:bottom w:val="none" w:sz="0" w:space="0" w:color="auto"/>
        <w:right w:val="none" w:sz="0" w:space="0" w:color="auto"/>
      </w:divBdr>
    </w:div>
    <w:div w:id="1460343829">
      <w:bodyDiv w:val="1"/>
      <w:marLeft w:val="0"/>
      <w:marRight w:val="0"/>
      <w:marTop w:val="0"/>
      <w:marBottom w:val="0"/>
      <w:divBdr>
        <w:top w:val="none" w:sz="0" w:space="0" w:color="auto"/>
        <w:left w:val="none" w:sz="0" w:space="0" w:color="auto"/>
        <w:bottom w:val="none" w:sz="0" w:space="0" w:color="auto"/>
        <w:right w:val="none" w:sz="0" w:space="0" w:color="auto"/>
      </w:divBdr>
    </w:div>
    <w:div w:id="1463421152">
      <w:bodyDiv w:val="1"/>
      <w:marLeft w:val="0"/>
      <w:marRight w:val="0"/>
      <w:marTop w:val="0"/>
      <w:marBottom w:val="0"/>
      <w:divBdr>
        <w:top w:val="none" w:sz="0" w:space="0" w:color="auto"/>
        <w:left w:val="none" w:sz="0" w:space="0" w:color="auto"/>
        <w:bottom w:val="none" w:sz="0" w:space="0" w:color="auto"/>
        <w:right w:val="none" w:sz="0" w:space="0" w:color="auto"/>
      </w:divBdr>
    </w:div>
    <w:div w:id="1610234898">
      <w:bodyDiv w:val="1"/>
      <w:marLeft w:val="0"/>
      <w:marRight w:val="0"/>
      <w:marTop w:val="0"/>
      <w:marBottom w:val="0"/>
      <w:divBdr>
        <w:top w:val="none" w:sz="0" w:space="0" w:color="auto"/>
        <w:left w:val="none" w:sz="0" w:space="0" w:color="auto"/>
        <w:bottom w:val="none" w:sz="0" w:space="0" w:color="auto"/>
        <w:right w:val="none" w:sz="0" w:space="0" w:color="auto"/>
      </w:divBdr>
    </w:div>
    <w:div w:id="1630238681">
      <w:bodyDiv w:val="1"/>
      <w:marLeft w:val="0"/>
      <w:marRight w:val="0"/>
      <w:marTop w:val="0"/>
      <w:marBottom w:val="0"/>
      <w:divBdr>
        <w:top w:val="none" w:sz="0" w:space="0" w:color="auto"/>
        <w:left w:val="none" w:sz="0" w:space="0" w:color="auto"/>
        <w:bottom w:val="none" w:sz="0" w:space="0" w:color="auto"/>
        <w:right w:val="none" w:sz="0" w:space="0" w:color="auto"/>
      </w:divBdr>
    </w:div>
    <w:div w:id="1682925080">
      <w:bodyDiv w:val="1"/>
      <w:marLeft w:val="0"/>
      <w:marRight w:val="0"/>
      <w:marTop w:val="0"/>
      <w:marBottom w:val="0"/>
      <w:divBdr>
        <w:top w:val="none" w:sz="0" w:space="0" w:color="auto"/>
        <w:left w:val="none" w:sz="0" w:space="0" w:color="auto"/>
        <w:bottom w:val="none" w:sz="0" w:space="0" w:color="auto"/>
        <w:right w:val="none" w:sz="0" w:space="0" w:color="auto"/>
      </w:divBdr>
    </w:div>
    <w:div w:id="1683507451">
      <w:bodyDiv w:val="1"/>
      <w:marLeft w:val="0"/>
      <w:marRight w:val="0"/>
      <w:marTop w:val="0"/>
      <w:marBottom w:val="0"/>
      <w:divBdr>
        <w:top w:val="none" w:sz="0" w:space="0" w:color="auto"/>
        <w:left w:val="none" w:sz="0" w:space="0" w:color="auto"/>
        <w:bottom w:val="none" w:sz="0" w:space="0" w:color="auto"/>
        <w:right w:val="none" w:sz="0" w:space="0" w:color="auto"/>
      </w:divBdr>
    </w:div>
    <w:div w:id="1693532987">
      <w:bodyDiv w:val="1"/>
      <w:marLeft w:val="0"/>
      <w:marRight w:val="0"/>
      <w:marTop w:val="0"/>
      <w:marBottom w:val="0"/>
      <w:divBdr>
        <w:top w:val="none" w:sz="0" w:space="0" w:color="auto"/>
        <w:left w:val="none" w:sz="0" w:space="0" w:color="auto"/>
        <w:bottom w:val="none" w:sz="0" w:space="0" w:color="auto"/>
        <w:right w:val="none" w:sz="0" w:space="0" w:color="auto"/>
      </w:divBdr>
    </w:div>
    <w:div w:id="1758600764">
      <w:bodyDiv w:val="1"/>
      <w:marLeft w:val="0"/>
      <w:marRight w:val="0"/>
      <w:marTop w:val="0"/>
      <w:marBottom w:val="0"/>
      <w:divBdr>
        <w:top w:val="none" w:sz="0" w:space="0" w:color="auto"/>
        <w:left w:val="none" w:sz="0" w:space="0" w:color="auto"/>
        <w:bottom w:val="none" w:sz="0" w:space="0" w:color="auto"/>
        <w:right w:val="none" w:sz="0" w:space="0" w:color="auto"/>
      </w:divBdr>
    </w:div>
    <w:div w:id="1812289906">
      <w:bodyDiv w:val="1"/>
      <w:marLeft w:val="0"/>
      <w:marRight w:val="0"/>
      <w:marTop w:val="0"/>
      <w:marBottom w:val="0"/>
      <w:divBdr>
        <w:top w:val="none" w:sz="0" w:space="0" w:color="auto"/>
        <w:left w:val="none" w:sz="0" w:space="0" w:color="auto"/>
        <w:bottom w:val="none" w:sz="0" w:space="0" w:color="auto"/>
        <w:right w:val="none" w:sz="0" w:space="0" w:color="auto"/>
      </w:divBdr>
    </w:div>
    <w:div w:id="1812290314">
      <w:bodyDiv w:val="1"/>
      <w:marLeft w:val="0"/>
      <w:marRight w:val="0"/>
      <w:marTop w:val="0"/>
      <w:marBottom w:val="0"/>
      <w:divBdr>
        <w:top w:val="none" w:sz="0" w:space="0" w:color="auto"/>
        <w:left w:val="none" w:sz="0" w:space="0" w:color="auto"/>
        <w:bottom w:val="none" w:sz="0" w:space="0" w:color="auto"/>
        <w:right w:val="none" w:sz="0" w:space="0" w:color="auto"/>
      </w:divBdr>
    </w:div>
    <w:div w:id="1815755603">
      <w:bodyDiv w:val="1"/>
      <w:marLeft w:val="0"/>
      <w:marRight w:val="0"/>
      <w:marTop w:val="0"/>
      <w:marBottom w:val="0"/>
      <w:divBdr>
        <w:top w:val="none" w:sz="0" w:space="0" w:color="auto"/>
        <w:left w:val="none" w:sz="0" w:space="0" w:color="auto"/>
        <w:bottom w:val="none" w:sz="0" w:space="0" w:color="auto"/>
        <w:right w:val="none" w:sz="0" w:space="0" w:color="auto"/>
      </w:divBdr>
    </w:div>
    <w:div w:id="1866169152">
      <w:bodyDiv w:val="1"/>
      <w:marLeft w:val="0"/>
      <w:marRight w:val="0"/>
      <w:marTop w:val="0"/>
      <w:marBottom w:val="0"/>
      <w:divBdr>
        <w:top w:val="none" w:sz="0" w:space="0" w:color="auto"/>
        <w:left w:val="none" w:sz="0" w:space="0" w:color="auto"/>
        <w:bottom w:val="none" w:sz="0" w:space="0" w:color="auto"/>
        <w:right w:val="none" w:sz="0" w:space="0" w:color="auto"/>
      </w:divBdr>
    </w:div>
    <w:div w:id="1878154720">
      <w:bodyDiv w:val="1"/>
      <w:marLeft w:val="0"/>
      <w:marRight w:val="0"/>
      <w:marTop w:val="0"/>
      <w:marBottom w:val="0"/>
      <w:divBdr>
        <w:top w:val="none" w:sz="0" w:space="0" w:color="auto"/>
        <w:left w:val="none" w:sz="0" w:space="0" w:color="auto"/>
        <w:bottom w:val="none" w:sz="0" w:space="0" w:color="auto"/>
        <w:right w:val="none" w:sz="0" w:space="0" w:color="auto"/>
      </w:divBdr>
    </w:div>
    <w:div w:id="1890024887">
      <w:bodyDiv w:val="1"/>
      <w:marLeft w:val="0"/>
      <w:marRight w:val="0"/>
      <w:marTop w:val="0"/>
      <w:marBottom w:val="0"/>
      <w:divBdr>
        <w:top w:val="none" w:sz="0" w:space="0" w:color="auto"/>
        <w:left w:val="none" w:sz="0" w:space="0" w:color="auto"/>
        <w:bottom w:val="none" w:sz="0" w:space="0" w:color="auto"/>
        <w:right w:val="none" w:sz="0" w:space="0" w:color="auto"/>
      </w:divBdr>
    </w:div>
    <w:div w:id="1907498167">
      <w:bodyDiv w:val="1"/>
      <w:marLeft w:val="0"/>
      <w:marRight w:val="0"/>
      <w:marTop w:val="0"/>
      <w:marBottom w:val="0"/>
      <w:divBdr>
        <w:top w:val="none" w:sz="0" w:space="0" w:color="auto"/>
        <w:left w:val="none" w:sz="0" w:space="0" w:color="auto"/>
        <w:bottom w:val="none" w:sz="0" w:space="0" w:color="auto"/>
        <w:right w:val="none" w:sz="0" w:space="0" w:color="auto"/>
      </w:divBdr>
    </w:div>
    <w:div w:id="1951811764">
      <w:bodyDiv w:val="1"/>
      <w:marLeft w:val="0"/>
      <w:marRight w:val="0"/>
      <w:marTop w:val="0"/>
      <w:marBottom w:val="0"/>
      <w:divBdr>
        <w:top w:val="none" w:sz="0" w:space="0" w:color="auto"/>
        <w:left w:val="none" w:sz="0" w:space="0" w:color="auto"/>
        <w:bottom w:val="none" w:sz="0" w:space="0" w:color="auto"/>
        <w:right w:val="none" w:sz="0" w:space="0" w:color="auto"/>
      </w:divBdr>
    </w:div>
    <w:div w:id="1975912740">
      <w:bodyDiv w:val="1"/>
      <w:marLeft w:val="0"/>
      <w:marRight w:val="0"/>
      <w:marTop w:val="0"/>
      <w:marBottom w:val="0"/>
      <w:divBdr>
        <w:top w:val="none" w:sz="0" w:space="0" w:color="auto"/>
        <w:left w:val="none" w:sz="0" w:space="0" w:color="auto"/>
        <w:bottom w:val="none" w:sz="0" w:space="0" w:color="auto"/>
        <w:right w:val="none" w:sz="0" w:space="0" w:color="auto"/>
      </w:divBdr>
    </w:div>
    <w:div w:id="1978293592">
      <w:bodyDiv w:val="1"/>
      <w:marLeft w:val="0"/>
      <w:marRight w:val="0"/>
      <w:marTop w:val="0"/>
      <w:marBottom w:val="0"/>
      <w:divBdr>
        <w:top w:val="none" w:sz="0" w:space="0" w:color="auto"/>
        <w:left w:val="none" w:sz="0" w:space="0" w:color="auto"/>
        <w:bottom w:val="none" w:sz="0" w:space="0" w:color="auto"/>
        <w:right w:val="none" w:sz="0" w:space="0" w:color="auto"/>
      </w:divBdr>
    </w:div>
    <w:div w:id="2056154833">
      <w:bodyDiv w:val="1"/>
      <w:marLeft w:val="0"/>
      <w:marRight w:val="0"/>
      <w:marTop w:val="0"/>
      <w:marBottom w:val="0"/>
      <w:divBdr>
        <w:top w:val="none" w:sz="0" w:space="0" w:color="auto"/>
        <w:left w:val="none" w:sz="0" w:space="0" w:color="auto"/>
        <w:bottom w:val="none" w:sz="0" w:space="0" w:color="auto"/>
        <w:right w:val="none" w:sz="0" w:space="0" w:color="auto"/>
      </w:divBdr>
    </w:div>
    <w:div w:id="2117552226">
      <w:bodyDiv w:val="1"/>
      <w:marLeft w:val="0"/>
      <w:marRight w:val="0"/>
      <w:marTop w:val="0"/>
      <w:marBottom w:val="0"/>
      <w:divBdr>
        <w:top w:val="none" w:sz="0" w:space="0" w:color="auto"/>
        <w:left w:val="none" w:sz="0" w:space="0" w:color="auto"/>
        <w:bottom w:val="none" w:sz="0" w:space="0" w:color="auto"/>
        <w:right w:val="none" w:sz="0" w:space="0" w:color="auto"/>
      </w:divBdr>
    </w:div>
    <w:div w:id="212372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hyperlink" Target="https://ccrw.org/coaching-the-skills-for-success-playboo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hyperlink" Target="http://www.ccrw.org/research" TargetMode="External"/><Relationship Id="rId2" Type="http://schemas.openxmlformats.org/officeDocument/2006/relationships/customXml" Target="../customXml/item2.xml"/><Relationship Id="rId16" Type="http://schemas.openxmlformats.org/officeDocument/2006/relationships/hyperlink" Target="https://ccrw.org/wp-content/uploads/2024/05/SFS-Playbook-Accessible_English.pdf" TargetMode="External"/><Relationship Id="rId20" Type="http://schemas.openxmlformats.org/officeDocument/2006/relationships/hyperlink" Target="https://www.untappedtalent.c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nada.ca/en/services/jobs/training/initiatives/skills-success.html" TargetMode="External"/><Relationship Id="rId5" Type="http://schemas.openxmlformats.org/officeDocument/2006/relationships/numbering" Target="numbering.xml"/><Relationship Id="rId15" Type="http://schemas.openxmlformats.org/officeDocument/2006/relationships/chart" Target="charts/chart4.xml"/><Relationship Id="rId10" Type="http://schemas.openxmlformats.org/officeDocument/2006/relationships/endnotes" Target="endnotes.xml"/><Relationship Id="rId19" Type="http://schemas.openxmlformats.org/officeDocument/2006/relationships/hyperlink" Target="https://toolkit.ccrw.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ccrw.org/wp-content/uploads/2024/05/SFS-Playbook-Accessible_English.pdf" TargetMode="External"/><Relationship Id="rId2" Type="http://schemas.openxmlformats.org/officeDocument/2006/relationships/hyperlink" Target="https://doi.org/10.1007/s10926-018-9756-z" TargetMode="External"/><Relationship Id="rId1" Type="http://schemas.openxmlformats.org/officeDocument/2006/relationships/hyperlink" Target="https://dais.ca/wp-content/uploads/2023/10/I-Human-ONLINE-FA-1.pdf" TargetMode="External"/><Relationship Id="rId4" Type="http://schemas.openxmlformats.org/officeDocument/2006/relationships/hyperlink" Target="https://capd.mit.edu/resources/the-star-method-for-behavioral-interview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ccrworg.sharepoint.com/sites/ResearchTeam/Shared%20Documents/General/Research%20in%20STEAM%20-%20ESDC/Quantitative%20Data/Updated%20STEAM2%20Jobseeker%20Data%20Cleaned%20and%20Deidentifie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ccrworg.sharepoint.com/sites/ResearchTeam/Shared%20Documents/General/Research%20in%20STEAM%20-%20ESDC/Quantitative%20Data/Updated%20STEAM2%20Jobseeker%20Data%20Cleaned%20and%20Deidentified.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ccrworg.sharepoint.com/sites/ResearchTeam/Shared%20Documents/General/Research%20in%20STEAM%20-%20ESDC/Quantitative%20Data/Updated%20STEAM2%20Jobseeker%20Data%20Cleaned%20and%20Deidentified.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0"/>
              <a:t>Perceived Value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Sheet23!$H$2:$L$2</c:f>
              <c:strCache>
                <c:ptCount val="5"/>
                <c:pt idx="0">
                  <c:v>Adaptability</c:v>
                </c:pt>
                <c:pt idx="1">
                  <c:v>Collaboration</c:v>
                </c:pt>
                <c:pt idx="2">
                  <c:v>Communication</c:v>
                </c:pt>
                <c:pt idx="3">
                  <c:v>Creativity &amp; Innovation</c:v>
                </c:pt>
                <c:pt idx="4">
                  <c:v>Problem Solving</c:v>
                </c:pt>
              </c:strCache>
            </c:strRef>
          </c:cat>
          <c:val>
            <c:numRef>
              <c:f>Sheet23!$H$3:$L$3</c:f>
              <c:numCache>
                <c:formatCode>General</c:formatCode>
                <c:ptCount val="5"/>
                <c:pt idx="0">
                  <c:v>4</c:v>
                </c:pt>
                <c:pt idx="1">
                  <c:v>4.2</c:v>
                </c:pt>
                <c:pt idx="2">
                  <c:v>4.4000000000000004</c:v>
                </c:pt>
                <c:pt idx="3">
                  <c:v>3.6</c:v>
                </c:pt>
                <c:pt idx="4">
                  <c:v>4.3</c:v>
                </c:pt>
              </c:numCache>
            </c:numRef>
          </c:val>
          <c:extLst>
            <c:ext xmlns:c16="http://schemas.microsoft.com/office/drawing/2014/chart" uri="{C3380CC4-5D6E-409C-BE32-E72D297353CC}">
              <c16:uniqueId val="{00000000-C495-46F5-A16B-54C22255B6CC}"/>
            </c:ext>
          </c:extLst>
        </c:ser>
        <c:dLbls>
          <c:dLblPos val="outEnd"/>
          <c:showLegendKey val="0"/>
          <c:showVal val="1"/>
          <c:showCatName val="0"/>
          <c:showSerName val="0"/>
          <c:showPercent val="0"/>
          <c:showBubbleSize val="0"/>
        </c:dLbls>
        <c:gapWidth val="219"/>
        <c:overlap val="-27"/>
        <c:axId val="1573234256"/>
        <c:axId val="1573217936"/>
      </c:barChart>
      <c:catAx>
        <c:axId val="15732342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573217936"/>
        <c:crosses val="autoZero"/>
        <c:auto val="1"/>
        <c:lblAlgn val="ctr"/>
        <c:lblOffset val="100"/>
        <c:noMultiLvlLbl val="0"/>
      </c:catAx>
      <c:valAx>
        <c:axId val="1573217936"/>
        <c:scaling>
          <c:orientation val="minMax"/>
          <c:min val="1"/>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73234256"/>
        <c:crosses val="autoZero"/>
        <c:crossBetween val="between"/>
        <c:majorUnit val="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0"/>
              <a:t>Confidence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Sheet5!$I$2:$M$2</c:f>
              <c:strCache>
                <c:ptCount val="5"/>
                <c:pt idx="0">
                  <c:v>Adaptability</c:v>
                </c:pt>
                <c:pt idx="1">
                  <c:v>Collaboration</c:v>
                </c:pt>
                <c:pt idx="2">
                  <c:v>Communication</c:v>
                </c:pt>
                <c:pt idx="3">
                  <c:v>Creativity &amp; Innovation</c:v>
                </c:pt>
                <c:pt idx="4">
                  <c:v>Problem Solving</c:v>
                </c:pt>
              </c:strCache>
            </c:strRef>
          </c:cat>
          <c:val>
            <c:numRef>
              <c:f>Sheet5!$I$3:$M$3</c:f>
              <c:numCache>
                <c:formatCode>General</c:formatCode>
                <c:ptCount val="5"/>
                <c:pt idx="0">
                  <c:v>3.7</c:v>
                </c:pt>
                <c:pt idx="1">
                  <c:v>3.8</c:v>
                </c:pt>
                <c:pt idx="2">
                  <c:v>3.8</c:v>
                </c:pt>
                <c:pt idx="3">
                  <c:v>3.8</c:v>
                </c:pt>
                <c:pt idx="4">
                  <c:v>3.8</c:v>
                </c:pt>
              </c:numCache>
            </c:numRef>
          </c:val>
          <c:extLst>
            <c:ext xmlns:c16="http://schemas.microsoft.com/office/drawing/2014/chart" uri="{C3380CC4-5D6E-409C-BE32-E72D297353CC}">
              <c16:uniqueId val="{00000000-EE84-4A65-923B-2EBB5A5B1ADC}"/>
            </c:ext>
          </c:extLst>
        </c:ser>
        <c:dLbls>
          <c:dLblPos val="outEnd"/>
          <c:showLegendKey val="0"/>
          <c:showVal val="1"/>
          <c:showCatName val="0"/>
          <c:showSerName val="0"/>
          <c:showPercent val="0"/>
          <c:showBubbleSize val="0"/>
        </c:dLbls>
        <c:gapWidth val="219"/>
        <c:overlap val="-27"/>
        <c:axId val="1197122079"/>
        <c:axId val="1197122559"/>
      </c:barChart>
      <c:catAx>
        <c:axId val="119712207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197122559"/>
        <c:crosses val="autoZero"/>
        <c:auto val="1"/>
        <c:lblAlgn val="ctr"/>
        <c:lblOffset val="100"/>
        <c:noMultiLvlLbl val="0"/>
      </c:catAx>
      <c:valAx>
        <c:axId val="1197122559"/>
        <c:scaling>
          <c:orientation val="minMax"/>
          <c:max val="5"/>
          <c:min val="1"/>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97122079"/>
        <c:crosses val="autoZero"/>
        <c:crossBetween val="between"/>
        <c:majorUnit val="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t>Adaptability Skills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Sheet6!$B$1</c:f>
              <c:strCache>
                <c:ptCount val="1"/>
                <c:pt idx="0">
                  <c:v>Adaptability</c:v>
                </c:pt>
              </c:strCache>
            </c:strRef>
          </c:tx>
          <c:spPr>
            <a:ln w="28575" cap="rnd">
              <a:solidFill>
                <a:schemeClr val="accent1"/>
              </a:solidFill>
              <a:round/>
            </a:ln>
            <a:effectLst/>
          </c:spPr>
          <c:marker>
            <c:symbol val="circle"/>
            <c:size val="7"/>
            <c:spPr>
              <a:solidFill>
                <a:schemeClr val="accent1"/>
              </a:solidFill>
              <a:ln w="9525">
                <a:noFill/>
              </a:ln>
              <a:effectLst/>
            </c:spPr>
          </c:marke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accent1"/>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Sheet6!$A$2:$A$3</c:f>
              <c:strCache>
                <c:ptCount val="2"/>
                <c:pt idx="0">
                  <c:v>Pre-Learning</c:v>
                </c:pt>
                <c:pt idx="1">
                  <c:v>Post-Learning</c:v>
                </c:pt>
              </c:strCache>
            </c:strRef>
          </c:cat>
          <c:val>
            <c:numRef>
              <c:f>Sheet6!$B$2:$B$3</c:f>
              <c:numCache>
                <c:formatCode>General</c:formatCode>
                <c:ptCount val="2"/>
                <c:pt idx="0">
                  <c:v>72.87</c:v>
                </c:pt>
                <c:pt idx="1">
                  <c:v>90.61</c:v>
                </c:pt>
              </c:numCache>
            </c:numRef>
          </c:val>
          <c:smooth val="0"/>
          <c:extLst>
            <c:ext xmlns:c16="http://schemas.microsoft.com/office/drawing/2014/chart" uri="{C3380CC4-5D6E-409C-BE32-E72D297353CC}">
              <c16:uniqueId val="{00000002-1A0C-4735-AB25-0F80AD272957}"/>
            </c:ext>
          </c:extLst>
        </c:ser>
        <c:dLbls>
          <c:dLblPos val="t"/>
          <c:showLegendKey val="0"/>
          <c:showVal val="1"/>
          <c:showCatName val="0"/>
          <c:showSerName val="0"/>
          <c:showPercent val="0"/>
          <c:showBubbleSize val="0"/>
        </c:dLbls>
        <c:marker val="1"/>
        <c:smooth val="0"/>
        <c:axId val="1123998975"/>
        <c:axId val="1123999935"/>
      </c:lineChart>
      <c:catAx>
        <c:axId val="11239989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123999935"/>
        <c:crosses val="autoZero"/>
        <c:auto val="1"/>
        <c:lblAlgn val="ctr"/>
        <c:lblOffset val="100"/>
        <c:noMultiLvlLbl val="0"/>
      </c:catAx>
      <c:valAx>
        <c:axId val="1123999935"/>
        <c:scaling>
          <c:orientation val="minMax"/>
          <c:max val="100"/>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sz="1200"/>
                  <a:t>%</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3998975"/>
        <c:crosses val="autoZero"/>
        <c:crossBetween val="between"/>
        <c:majorUnit val="10"/>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a:t>Average Skill Increase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Skill Score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accent1"/>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Before Service</c:v>
                </c:pt>
                <c:pt idx="1">
                  <c:v>After Service</c:v>
                </c:pt>
              </c:strCache>
            </c:strRef>
          </c:cat>
          <c:val>
            <c:numRef>
              <c:f>Sheet1!$B$2:$B$3</c:f>
              <c:numCache>
                <c:formatCode>General</c:formatCode>
                <c:ptCount val="2"/>
                <c:pt idx="0">
                  <c:v>73.7</c:v>
                </c:pt>
                <c:pt idx="1">
                  <c:v>87.6</c:v>
                </c:pt>
              </c:numCache>
            </c:numRef>
          </c:val>
          <c:smooth val="0"/>
          <c:extLst>
            <c:ext xmlns:c16="http://schemas.microsoft.com/office/drawing/2014/chart" uri="{C3380CC4-5D6E-409C-BE32-E72D297353CC}">
              <c16:uniqueId val="{00000000-D705-45EF-9D71-6637DE83ECAE}"/>
            </c:ext>
          </c:extLst>
        </c:ser>
        <c:dLbls>
          <c:dLblPos val="b"/>
          <c:showLegendKey val="0"/>
          <c:showVal val="1"/>
          <c:showCatName val="0"/>
          <c:showSerName val="0"/>
          <c:showPercent val="0"/>
          <c:showBubbleSize val="0"/>
        </c:dLbls>
        <c:marker val="1"/>
        <c:smooth val="0"/>
        <c:axId val="1363103968"/>
        <c:axId val="1363102048"/>
      </c:lineChart>
      <c:catAx>
        <c:axId val="1363103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363102048"/>
        <c:crosses val="autoZero"/>
        <c:auto val="1"/>
        <c:lblAlgn val="ctr"/>
        <c:lblOffset val="100"/>
        <c:noMultiLvlLbl val="0"/>
      </c:catAx>
      <c:valAx>
        <c:axId val="1363102048"/>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US" sz="1200"/>
                  <a:t>%</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631039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049466ED47D84B82E788DEF7228A87" ma:contentTypeVersion="16" ma:contentTypeDescription="Create a new document." ma:contentTypeScope="" ma:versionID="485d41e16cc84cae7830abf190465b75">
  <xsd:schema xmlns:xsd="http://www.w3.org/2001/XMLSchema" xmlns:xs="http://www.w3.org/2001/XMLSchema" xmlns:p="http://schemas.microsoft.com/office/2006/metadata/properties" xmlns:ns2="81feb0f6-aa14-4c7f-9fb2-0e7c0c2858a8" xmlns:ns3="f61fc526-369a-4173-9222-99ed8c3bd08c" targetNamespace="http://schemas.microsoft.com/office/2006/metadata/properties" ma:root="true" ma:fieldsID="5e9962edc248c551ec377a5525667b78" ns2:_="" ns3:_="">
    <xsd:import namespace="81feb0f6-aa14-4c7f-9fb2-0e7c0c2858a8"/>
    <xsd:import namespace="f61fc526-369a-4173-9222-99ed8c3bd0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feb0f6-aa14-4c7f-9fb2-0e7c0c2858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f8bad75-d09f-4bfd-a954-b846a31904c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1fc526-369a-4173-9222-99ed8c3bd08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1ff7781b-b04d-47ac-881b-e775e53eafaa}" ma:internalName="TaxCatchAll" ma:showField="CatchAllData" ma:web="f61fc526-369a-4173-9222-99ed8c3bd0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1feb0f6-aa14-4c7f-9fb2-0e7c0c2858a8">
      <Terms xmlns="http://schemas.microsoft.com/office/infopath/2007/PartnerControls"/>
    </lcf76f155ced4ddcb4097134ff3c332f>
    <TaxCatchAll xmlns="f61fc526-369a-4173-9222-99ed8c3bd08c"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D0A81D-5B1A-4CA4-8215-DA4B605E00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feb0f6-aa14-4c7f-9fb2-0e7c0c2858a8"/>
    <ds:schemaRef ds:uri="f61fc526-369a-4173-9222-99ed8c3bd0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591023-91D6-493F-B023-E3FCF2EFACAE}">
  <ds:schemaRefs>
    <ds:schemaRef ds:uri="http://schemas.microsoft.com/office/2006/metadata/properties"/>
    <ds:schemaRef ds:uri="http://schemas.microsoft.com/office/infopath/2007/PartnerControls"/>
    <ds:schemaRef ds:uri="81feb0f6-aa14-4c7f-9fb2-0e7c0c2858a8"/>
    <ds:schemaRef ds:uri="f61fc526-369a-4173-9222-99ed8c3bd08c"/>
  </ds:schemaRefs>
</ds:datastoreItem>
</file>

<file path=customXml/itemProps3.xml><?xml version="1.0" encoding="utf-8"?>
<ds:datastoreItem xmlns:ds="http://schemas.openxmlformats.org/officeDocument/2006/customXml" ds:itemID="{EBFE114B-F990-4DA8-BB22-7F5A3902C2FE}">
  <ds:schemaRefs>
    <ds:schemaRef ds:uri="http://schemas.openxmlformats.org/officeDocument/2006/bibliography"/>
  </ds:schemaRefs>
</ds:datastoreItem>
</file>

<file path=customXml/itemProps4.xml><?xml version="1.0" encoding="utf-8"?>
<ds:datastoreItem xmlns:ds="http://schemas.openxmlformats.org/officeDocument/2006/customXml" ds:itemID="{740DE185-102E-49B4-A69A-2FD255747C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2129</TotalTime>
  <Pages>18</Pages>
  <Words>4031</Words>
  <Characters>22982</Characters>
  <Application>Microsoft Office Word</Application>
  <DocSecurity>0</DocSecurity>
  <Lines>191</Lines>
  <Paragraphs>53</Paragraphs>
  <ScaleCrop>false</ScaleCrop>
  <Company/>
  <LinksUpToDate>false</LinksUpToDate>
  <CharactersWithSpaces>26960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Sinclair</dc:creator>
  <cp:keywords/>
  <dc:description/>
  <cp:lastModifiedBy>Vanessa Sinclair</cp:lastModifiedBy>
  <cp:revision>752</cp:revision>
  <dcterms:created xsi:type="dcterms:W3CDTF">2024-10-07T20:57:00Z</dcterms:created>
  <dcterms:modified xsi:type="dcterms:W3CDTF">2025-02-10T16:46:00Z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0x010100C7049466ED47D84B82E788DEF7228A87</vt:lpwstr>
  </property>
  <property fmtid="{D5CDD505-2E9C-101B-9397-08002B2CF9AE}" pid="3" name="MediaServiceImageTags">
    <vt:lpwstr/>
  </property>
</Properties>
</file>