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67EA" w14:textId="2706E310" w:rsidR="00A16E89" w:rsidRPr="003752CB" w:rsidRDefault="00A16E89" w:rsidP="008B70C4">
      <w:pPr>
        <w:pStyle w:val="Title"/>
      </w:pPr>
      <w:r w:rsidRPr="003752CB">
        <w:t>From Divide to Inclusion:</w:t>
      </w:r>
    </w:p>
    <w:p w14:paraId="3B5FD7D6" w14:textId="04281FA2" w:rsidR="00F95D72" w:rsidRPr="003752CB" w:rsidRDefault="00A16E89" w:rsidP="008B70C4">
      <w:pPr>
        <w:pStyle w:val="Title"/>
      </w:pPr>
      <w:r w:rsidRPr="003752CB">
        <w:t>Digital</w:t>
      </w:r>
      <w:r w:rsidR="00875C23" w:rsidRPr="003752CB">
        <w:t xml:space="preserve"> </w:t>
      </w:r>
      <w:r w:rsidR="006D32D3" w:rsidRPr="003752CB">
        <w:t>Access, Accessibility, and</w:t>
      </w:r>
      <w:r w:rsidR="00875C23" w:rsidRPr="003752CB">
        <w:t xml:space="preserve"> </w:t>
      </w:r>
      <w:r w:rsidR="005328CC" w:rsidRPr="003752CB">
        <w:t>Skills</w:t>
      </w:r>
      <w:r w:rsidR="00875C23" w:rsidRPr="003752CB">
        <w:t xml:space="preserve"> </w:t>
      </w:r>
      <w:r w:rsidR="006D32D3" w:rsidRPr="003752CB">
        <w:t>Devel</w:t>
      </w:r>
      <w:r w:rsidR="00F50968" w:rsidRPr="003752CB">
        <w:t>o</w:t>
      </w:r>
      <w:r w:rsidR="006D32D3" w:rsidRPr="003752CB">
        <w:t>pment</w:t>
      </w:r>
      <w:r w:rsidRPr="003752CB">
        <w:t xml:space="preserve"> for People with Disabilities</w:t>
      </w:r>
    </w:p>
    <w:p w14:paraId="2AFB2901" w14:textId="77777777" w:rsidR="008A0ADC" w:rsidRPr="003752CB" w:rsidRDefault="008A0ADC" w:rsidP="009D3EC2">
      <w:pPr>
        <w:spacing w:line="240" w:lineRule="auto"/>
      </w:pPr>
    </w:p>
    <w:p w14:paraId="51987510" w14:textId="4855EBFA" w:rsidR="00E1208D" w:rsidRPr="003752CB" w:rsidRDefault="00E1208D" w:rsidP="009D3EC2">
      <w:pPr>
        <w:spacing w:line="240" w:lineRule="auto"/>
      </w:pPr>
      <w:r w:rsidRPr="003752CB">
        <w:t>Melissa Pagliaro</w:t>
      </w:r>
      <w:r w:rsidR="008A0ADC" w:rsidRPr="003752CB">
        <w:t>*</w:t>
      </w:r>
      <w:r w:rsidRPr="003752CB">
        <w:t>,</w:t>
      </w:r>
      <w:r w:rsidR="008B70C4" w:rsidRPr="003752CB">
        <w:t xml:space="preserve"> Elmira Izadi</w:t>
      </w:r>
      <w:r w:rsidR="00BA6456" w:rsidRPr="003752CB">
        <w:t>*</w:t>
      </w:r>
      <w:r w:rsidR="009B6681" w:rsidRPr="003752CB">
        <w:t>,</w:t>
      </w:r>
      <w:r w:rsidR="00B92332" w:rsidRPr="003752CB">
        <w:t xml:space="preserve"> Lauren Renaud*, Rachel Bath*,</w:t>
      </w:r>
      <w:r w:rsidR="00BA6456" w:rsidRPr="003752CB">
        <w:t xml:space="preserve"> Jeffrey Normore*, Linda Brown*,</w:t>
      </w:r>
      <w:r w:rsidR="001A59BB" w:rsidRPr="003752CB">
        <w:t xml:space="preserve"> Ramitha Muralitharan</w:t>
      </w:r>
      <w:r w:rsidR="00D253F0" w:rsidRPr="003752CB">
        <w:t>, and Vanessa Sinclair*</w:t>
      </w:r>
    </w:p>
    <w:p w14:paraId="46CD5A38" w14:textId="6E59D1EC" w:rsidR="00E1208D" w:rsidRPr="003752CB" w:rsidRDefault="008A0ADC" w:rsidP="009D3EC2">
      <w:pPr>
        <w:spacing w:line="240" w:lineRule="auto"/>
      </w:pPr>
      <w:r w:rsidRPr="003752CB">
        <w:t>*Canadian Council on Rehabilitation and Work</w:t>
      </w:r>
    </w:p>
    <w:p w14:paraId="331D6641" w14:textId="20ACB06D" w:rsidR="00914BED" w:rsidRPr="003752CB" w:rsidRDefault="00803333" w:rsidP="002C4187">
      <w:r w:rsidRPr="003752CB">
        <w:t>Every day, many persons with disabilities navigate a world that was not designed with their needs in mind.</w:t>
      </w:r>
      <w:r w:rsidR="00C709A4" w:rsidRPr="003752CB">
        <w:t xml:space="preserve"> For some, the digital environment – the devices, software, and online platforms where people work, </w:t>
      </w:r>
      <w:r w:rsidR="002D3463" w:rsidRPr="003752CB">
        <w:t xml:space="preserve">learn, </w:t>
      </w:r>
      <w:r w:rsidR="00C709A4" w:rsidRPr="003752CB">
        <w:t>play, and interact – can be just as inaccessible</w:t>
      </w:r>
      <w:r w:rsidR="002D3463" w:rsidRPr="003752CB">
        <w:t xml:space="preserve"> as the physical world</w:t>
      </w:r>
      <w:r w:rsidR="00C709A4" w:rsidRPr="003752CB">
        <w:t>.</w:t>
      </w:r>
    </w:p>
    <w:p w14:paraId="62EDEBC9" w14:textId="1BF90CEF" w:rsidR="006D393C" w:rsidRPr="003752CB" w:rsidRDefault="00CE5CC3" w:rsidP="002C4187">
      <w:r w:rsidRPr="003752CB">
        <w:t xml:space="preserve">As workplaces </w:t>
      </w:r>
      <w:r w:rsidR="005557F9" w:rsidRPr="003752CB">
        <w:t>grow</w:t>
      </w:r>
      <w:r w:rsidRPr="003752CB">
        <w:t xml:space="preserve"> increasingly digitized, </w:t>
      </w:r>
      <w:r w:rsidR="00777DFD" w:rsidRPr="003752CB">
        <w:t xml:space="preserve">digital </w:t>
      </w:r>
      <w:r w:rsidR="00733116" w:rsidRPr="003752CB">
        <w:t xml:space="preserve">access, </w:t>
      </w:r>
      <w:r w:rsidR="00777DFD" w:rsidRPr="003752CB">
        <w:t>accessibility</w:t>
      </w:r>
      <w:r w:rsidR="00733116" w:rsidRPr="003752CB">
        <w:t>,</w:t>
      </w:r>
      <w:r w:rsidR="00777DFD" w:rsidRPr="003752CB">
        <w:t xml:space="preserve"> and skills </w:t>
      </w:r>
      <w:r w:rsidR="00B10238" w:rsidRPr="003752CB">
        <w:t xml:space="preserve">become gatekeepers to employment. </w:t>
      </w:r>
      <w:r w:rsidR="00EA6802" w:rsidRPr="003752CB">
        <w:t>Unfortunately, people with disabilities and other marginalized groups face a ‘digital divide’</w:t>
      </w:r>
      <w:r w:rsidR="00C9155D" w:rsidRPr="003752CB">
        <w:t xml:space="preserve">: </w:t>
      </w:r>
      <w:r w:rsidR="0078074F" w:rsidRPr="003752CB">
        <w:t xml:space="preserve">the gap between those who </w:t>
      </w:r>
      <w:r w:rsidR="00F671C1" w:rsidRPr="003752CB">
        <w:t>have the means and the skills to access the digital world</w:t>
      </w:r>
      <w:r w:rsidR="00F85DD2" w:rsidRPr="003752CB">
        <w:t xml:space="preserve"> </w:t>
      </w:r>
      <w:r w:rsidR="00B55074" w:rsidRPr="003752CB">
        <w:t>and those who do not</w:t>
      </w:r>
      <w:r w:rsidR="007374CE" w:rsidRPr="003752CB">
        <w:rPr>
          <w:rStyle w:val="EndnoteReference"/>
        </w:rPr>
        <w:endnoteReference w:id="1"/>
      </w:r>
      <w:r w:rsidR="0022277D" w:rsidRPr="003752CB">
        <w:t>.</w:t>
      </w:r>
    </w:p>
    <w:p w14:paraId="28BF8921" w14:textId="1337842E" w:rsidR="00F94C7D" w:rsidRPr="003752CB" w:rsidRDefault="004C6BBD" w:rsidP="002C4187">
      <w:r w:rsidRPr="003752CB">
        <w:t>D</w:t>
      </w:r>
      <w:r w:rsidR="00B10238" w:rsidRPr="003752CB">
        <w:t>igital inclusion</w:t>
      </w:r>
      <w:r w:rsidR="002A5FAA" w:rsidRPr="003752CB">
        <w:t>,</w:t>
      </w:r>
      <w:r w:rsidR="00F94C7D" w:rsidRPr="003752CB">
        <w:t xml:space="preserve"> which refers to ensuring that </w:t>
      </w:r>
      <w:r w:rsidR="00B624CD" w:rsidRPr="003752CB">
        <w:t xml:space="preserve">all individuals and communities </w:t>
      </w:r>
      <w:r w:rsidR="00F94C7D" w:rsidRPr="003752CB">
        <w:t>can</w:t>
      </w:r>
      <w:r w:rsidR="00B624CD" w:rsidRPr="003752CB">
        <w:t xml:space="preserve"> access</w:t>
      </w:r>
      <w:r w:rsidR="008005FC" w:rsidRPr="003752CB">
        <w:t xml:space="preserve"> </w:t>
      </w:r>
      <w:r w:rsidR="0006636F" w:rsidRPr="003752CB">
        <w:t>the</w:t>
      </w:r>
      <w:r w:rsidR="008005FC" w:rsidRPr="003752CB">
        <w:t xml:space="preserve"> </w:t>
      </w:r>
      <w:r w:rsidR="00EE03D2" w:rsidRPr="003752CB">
        <w:t>Internet</w:t>
      </w:r>
      <w:r w:rsidR="008005FC" w:rsidRPr="003752CB">
        <w:t>,</w:t>
      </w:r>
      <w:r w:rsidR="00F94C7D" w:rsidRPr="003752CB">
        <w:t xml:space="preserve"> use</w:t>
      </w:r>
      <w:r w:rsidR="008005FC" w:rsidRPr="003752CB">
        <w:t xml:space="preserve"> technolog</w:t>
      </w:r>
      <w:r w:rsidR="00497751" w:rsidRPr="003752CB">
        <w:t xml:space="preserve">ical </w:t>
      </w:r>
      <w:r w:rsidR="008005FC" w:rsidRPr="003752CB">
        <w:t>devices</w:t>
      </w:r>
      <w:r w:rsidR="00497751" w:rsidRPr="003752CB">
        <w:t xml:space="preserve"> such as computers and </w:t>
      </w:r>
      <w:r w:rsidR="00F94C7D" w:rsidRPr="003752CB">
        <w:t>smart</w:t>
      </w:r>
      <w:r w:rsidR="00497751" w:rsidRPr="003752CB">
        <w:t>phones,</w:t>
      </w:r>
      <w:r w:rsidR="009638F2" w:rsidRPr="003752CB">
        <w:t xml:space="preserve"> benefit from applications and online content that are accessible and inclusive, and</w:t>
      </w:r>
      <w:r w:rsidR="00497751" w:rsidRPr="003752CB">
        <w:t xml:space="preserve"> </w:t>
      </w:r>
      <w:r w:rsidR="00F94C7D" w:rsidRPr="003752CB">
        <w:t xml:space="preserve">receive </w:t>
      </w:r>
      <w:r w:rsidR="00497751" w:rsidRPr="003752CB">
        <w:t>digital skills training</w:t>
      </w:r>
      <w:r w:rsidR="00292612" w:rsidRPr="003752CB">
        <w:rPr>
          <w:rStyle w:val="EndnoteReference"/>
        </w:rPr>
        <w:endnoteReference w:id="2"/>
      </w:r>
      <w:r w:rsidR="00951EC5" w:rsidRPr="003752CB">
        <w:t>,</w:t>
      </w:r>
      <w:r w:rsidR="00B10238" w:rsidRPr="003752CB">
        <w:t xml:space="preserve"> is often framed as the key to</w:t>
      </w:r>
      <w:r w:rsidR="00951EC5" w:rsidRPr="003752CB">
        <w:t xml:space="preserve"> employment.</w:t>
      </w:r>
      <w:r w:rsidR="00B10238" w:rsidRPr="003752CB">
        <w:t xml:space="preserve"> </w:t>
      </w:r>
      <w:r w:rsidR="00951EC5" w:rsidRPr="003752CB">
        <w:t xml:space="preserve">However, </w:t>
      </w:r>
      <w:r w:rsidR="005F6CFD" w:rsidRPr="003752CB">
        <w:t>systemic barriers</w:t>
      </w:r>
      <w:r w:rsidR="00B10238" w:rsidRPr="003752CB">
        <w:t xml:space="preserve"> </w:t>
      </w:r>
      <w:r w:rsidR="00EE03D2" w:rsidRPr="003752CB">
        <w:t xml:space="preserve">such as the cost of Internet access, </w:t>
      </w:r>
      <w:r w:rsidR="00B10238" w:rsidRPr="003752CB">
        <w:t>inaccessible platforms</w:t>
      </w:r>
      <w:r w:rsidR="00EE03D2" w:rsidRPr="003752CB">
        <w:t>,</w:t>
      </w:r>
      <w:r w:rsidR="006074C7" w:rsidRPr="003752CB">
        <w:t xml:space="preserve"> and</w:t>
      </w:r>
      <w:r w:rsidR="00B10238" w:rsidRPr="003752CB">
        <w:t xml:space="preserve"> limited </w:t>
      </w:r>
      <w:r w:rsidR="005E3B5F" w:rsidRPr="003752CB">
        <w:t xml:space="preserve">digital </w:t>
      </w:r>
      <w:r w:rsidR="006074C7" w:rsidRPr="003752CB">
        <w:t xml:space="preserve">skill development opportunities </w:t>
      </w:r>
      <w:r w:rsidR="009816E6" w:rsidRPr="003752CB">
        <w:t xml:space="preserve">keep </w:t>
      </w:r>
      <w:r w:rsidR="003E1364" w:rsidRPr="003752CB">
        <w:t xml:space="preserve">inclusion </w:t>
      </w:r>
      <w:r w:rsidR="009816E6" w:rsidRPr="003752CB">
        <w:t>out of reach.</w:t>
      </w:r>
    </w:p>
    <w:p w14:paraId="1E9002A5" w14:textId="5B1D78CF" w:rsidR="00BF477B" w:rsidRPr="003752CB" w:rsidRDefault="002160FA" w:rsidP="002C4187">
      <w:r w:rsidRPr="003752CB">
        <w:t xml:space="preserve">For workers with disabilities to compete equally in the labour market, </w:t>
      </w:r>
      <w:r w:rsidR="008C1F0D" w:rsidRPr="003752CB">
        <w:t>they must be given equitable</w:t>
      </w:r>
      <w:r w:rsidR="003E1364" w:rsidRPr="003752CB">
        <w:t xml:space="preserve"> opportunities</w:t>
      </w:r>
      <w:r w:rsidR="008C1F0D" w:rsidRPr="003752CB">
        <w:t xml:space="preserve"> to develop the digital skills</w:t>
      </w:r>
      <w:r w:rsidR="0014525D" w:rsidRPr="003752CB">
        <w:t xml:space="preserve"> that are</w:t>
      </w:r>
      <w:r w:rsidR="001E1AD9" w:rsidRPr="003752CB">
        <w:t xml:space="preserve"> increasingly valued by employers </w:t>
      </w:r>
      <w:r w:rsidR="0014525D" w:rsidRPr="003752CB">
        <w:t>across</w:t>
      </w:r>
      <w:r w:rsidR="001E1AD9" w:rsidRPr="003752CB">
        <w:t xml:space="preserve"> industries</w:t>
      </w:r>
      <w:r w:rsidR="008C1F0D" w:rsidRPr="003752CB">
        <w:t xml:space="preserve">. </w:t>
      </w:r>
      <w:r w:rsidR="00132D97" w:rsidRPr="003752CB">
        <w:t xml:space="preserve">This begins with ensuring people with disabilities </w:t>
      </w:r>
      <w:r w:rsidR="00BF477B" w:rsidRPr="003752CB">
        <w:t>have full access to the digital environment</w:t>
      </w:r>
      <w:r w:rsidR="009C0522" w:rsidRPr="003752CB">
        <w:t>.</w:t>
      </w:r>
    </w:p>
    <w:p w14:paraId="644B3CEE" w14:textId="3C71DD4E" w:rsidR="001E6B30" w:rsidRPr="003752CB" w:rsidRDefault="006E3948" w:rsidP="002C4187">
      <w:r w:rsidRPr="003752CB">
        <w:t>Digital access encompasses infrastructure, affordability, inclusive design, and digital literacy</w:t>
      </w:r>
      <w:r w:rsidR="00B61DB5" w:rsidRPr="003752CB">
        <w:rPr>
          <w:rStyle w:val="EndnoteReference"/>
        </w:rPr>
        <w:endnoteReference w:id="3"/>
      </w:r>
      <w:r w:rsidR="00B74E29" w:rsidRPr="003752CB">
        <w:t>,</w:t>
      </w:r>
      <w:r w:rsidR="004168C5" w:rsidRPr="003752CB">
        <w:rPr>
          <w:rStyle w:val="EndnoteReference"/>
        </w:rPr>
        <w:endnoteReference w:id="4"/>
      </w:r>
      <w:r w:rsidR="00E46C39" w:rsidRPr="003752CB">
        <w:t xml:space="preserve">. </w:t>
      </w:r>
      <w:r w:rsidR="00386AE6" w:rsidRPr="003752CB">
        <w:t xml:space="preserve">Full </w:t>
      </w:r>
      <w:r w:rsidR="00E75D7C" w:rsidRPr="003752CB">
        <w:t>participation of persons with disabilities in th</w:t>
      </w:r>
      <w:r w:rsidR="00D73D1E" w:rsidRPr="003752CB">
        <w:t>e workforce</w:t>
      </w:r>
      <w:r w:rsidR="00386AE6" w:rsidRPr="003752CB">
        <w:t xml:space="preserve"> requires </w:t>
      </w:r>
      <w:r w:rsidR="0078672A" w:rsidRPr="003752CB">
        <w:t xml:space="preserve">a </w:t>
      </w:r>
      <w:r w:rsidR="00386AE6" w:rsidRPr="003752CB">
        <w:t xml:space="preserve">holistic </w:t>
      </w:r>
      <w:r w:rsidR="0078672A" w:rsidRPr="003752CB">
        <w:t>approach</w:t>
      </w:r>
      <w:r w:rsidR="00386AE6" w:rsidRPr="003752CB">
        <w:t xml:space="preserve"> </w:t>
      </w:r>
      <w:r w:rsidR="00D657B9" w:rsidRPr="003752CB">
        <w:t>integrating each of</w:t>
      </w:r>
      <w:r w:rsidR="001E6B30" w:rsidRPr="003752CB">
        <w:t xml:space="preserve"> these areas</w:t>
      </w:r>
      <w:r w:rsidR="00124BD3" w:rsidRPr="003752CB">
        <w:t>.</w:t>
      </w:r>
    </w:p>
    <w:p w14:paraId="56EC12D7" w14:textId="7743C0D1" w:rsidR="00613AA4" w:rsidRPr="003752CB" w:rsidRDefault="00E33E8D" w:rsidP="002C4187">
      <w:r w:rsidRPr="003752CB">
        <w:t>In t</w:t>
      </w:r>
      <w:r w:rsidR="00B10238" w:rsidRPr="003752CB">
        <w:t>his report</w:t>
      </w:r>
      <w:r w:rsidRPr="003752CB">
        <w:t>, we discuss digital access</w:t>
      </w:r>
      <w:r w:rsidR="00A320E0" w:rsidRPr="003752CB">
        <w:t>, accessibility,</w:t>
      </w:r>
      <w:r w:rsidRPr="003752CB">
        <w:t xml:space="preserve"> and the state of the digital divide</w:t>
      </w:r>
      <w:r w:rsidR="00A31AD7" w:rsidRPr="003752CB">
        <w:t xml:space="preserve"> in the Canadian labour market</w:t>
      </w:r>
      <w:r w:rsidR="00514901" w:rsidRPr="003752CB">
        <w:t>.</w:t>
      </w:r>
      <w:r w:rsidR="00A31AD7" w:rsidRPr="003752CB">
        <w:t xml:space="preserve"> We </w:t>
      </w:r>
      <w:r w:rsidR="00A62F3C" w:rsidRPr="003752CB">
        <w:t xml:space="preserve">then </w:t>
      </w:r>
      <w:r w:rsidR="00386AE6" w:rsidRPr="003752CB">
        <w:t>describe</w:t>
      </w:r>
      <w:r w:rsidR="00A31AD7" w:rsidRPr="003752CB">
        <w:t xml:space="preserve"> what digital skills are, their importance to employment outcomes, and the challenges and opportunities </w:t>
      </w:r>
      <w:r w:rsidR="000D5EC7" w:rsidRPr="003752CB">
        <w:t>ahead for disability-</w:t>
      </w:r>
      <w:r w:rsidR="000D5EC7" w:rsidRPr="003752CB">
        <w:lastRenderedPageBreak/>
        <w:t>inclusive digital skills development.</w:t>
      </w:r>
      <w:r w:rsidRPr="003752CB">
        <w:t xml:space="preserve"> </w:t>
      </w:r>
      <w:r w:rsidR="00B10238" w:rsidRPr="003752CB">
        <w:t xml:space="preserve"> </w:t>
      </w:r>
      <w:r w:rsidR="000D5EC7" w:rsidRPr="003752CB">
        <w:t>We</w:t>
      </w:r>
      <w:r w:rsidR="00B10238" w:rsidRPr="003752CB">
        <w:t xml:space="preserve"> highlight </w:t>
      </w:r>
      <w:r w:rsidR="003D039F" w:rsidRPr="003752CB">
        <w:t>employment</w:t>
      </w:r>
      <w:r w:rsidR="00B10238" w:rsidRPr="003752CB">
        <w:t xml:space="preserve"> service</w:t>
      </w:r>
      <w:r w:rsidR="003D039F" w:rsidRPr="003752CB">
        <w:t>s</w:t>
      </w:r>
      <w:r w:rsidR="00B10238" w:rsidRPr="003752CB">
        <w:t xml:space="preserve"> and polic</w:t>
      </w:r>
      <w:r w:rsidR="000D5EC7" w:rsidRPr="003752CB">
        <w:t xml:space="preserve">ies </w:t>
      </w:r>
      <w:r w:rsidR="00B10238" w:rsidRPr="003752CB">
        <w:t>that can help level the playing field</w:t>
      </w:r>
      <w:r w:rsidR="001B79D7" w:rsidRPr="003752CB">
        <w:t>.</w:t>
      </w:r>
      <w:r w:rsidR="00B10238" w:rsidRPr="003752CB">
        <w:t xml:space="preserve"> </w:t>
      </w:r>
      <w:r w:rsidR="001E6B30" w:rsidRPr="003752CB">
        <w:t>W</w:t>
      </w:r>
      <w:r w:rsidR="005401AC" w:rsidRPr="003752CB">
        <w:t>e emphasize what community organizations, employment service providers, and skills training instructors can do to support digital inclusion.</w:t>
      </w:r>
    </w:p>
    <w:p w14:paraId="75BCB4C1" w14:textId="55F29933" w:rsidR="00B71F37" w:rsidRPr="003752CB" w:rsidRDefault="00B10238" w:rsidP="002C4187">
      <w:r w:rsidRPr="003752CB">
        <w:t xml:space="preserve">Finally, </w:t>
      </w:r>
      <w:r w:rsidR="001B79D7" w:rsidRPr="003752CB">
        <w:t>we</w:t>
      </w:r>
      <w:r w:rsidRPr="003752CB">
        <w:t xml:space="preserve"> issue a call to action for employment service providers</w:t>
      </w:r>
      <w:r w:rsidR="00AF69CF" w:rsidRPr="003752CB">
        <w:t xml:space="preserve">, </w:t>
      </w:r>
      <w:r w:rsidRPr="003752CB">
        <w:t>advocates</w:t>
      </w:r>
      <w:r w:rsidR="00AF69CF" w:rsidRPr="003752CB">
        <w:t>, and community leaders</w:t>
      </w:r>
      <w:r w:rsidRPr="003752CB">
        <w:t xml:space="preserve"> to become agents of change</w:t>
      </w:r>
      <w:r w:rsidR="001B79D7" w:rsidRPr="003752CB">
        <w:t xml:space="preserve"> by </w:t>
      </w:r>
      <w:r w:rsidR="00102617" w:rsidRPr="003752CB">
        <w:t xml:space="preserve">advocating for </w:t>
      </w:r>
      <w:r w:rsidRPr="003752CB">
        <w:t xml:space="preserve">the importance of digital inclusion and </w:t>
      </w:r>
      <w:r w:rsidR="00102617" w:rsidRPr="003752CB">
        <w:t xml:space="preserve">modelling </w:t>
      </w:r>
      <w:r w:rsidRPr="003752CB">
        <w:t>accessible, inclusive training</w:t>
      </w:r>
      <w:r w:rsidR="00102617" w:rsidRPr="003752CB">
        <w:t xml:space="preserve"> practices</w:t>
      </w:r>
      <w:r w:rsidRPr="003752CB">
        <w:t>.</w:t>
      </w:r>
      <w:r w:rsidR="006A45FA" w:rsidRPr="003752CB">
        <w:t xml:space="preserve"> </w:t>
      </w:r>
      <w:r w:rsidR="004C2FA8" w:rsidRPr="003752CB">
        <w:t>Increasing access to digital infrastructure</w:t>
      </w:r>
      <w:r w:rsidR="009F790A" w:rsidRPr="003752CB">
        <w:t xml:space="preserve">, </w:t>
      </w:r>
      <w:r w:rsidR="008557BB" w:rsidRPr="003752CB">
        <w:t xml:space="preserve">accessible and inclusive online </w:t>
      </w:r>
      <w:r w:rsidR="009F790A" w:rsidRPr="003752CB">
        <w:t>content,</w:t>
      </w:r>
      <w:r w:rsidR="004C2FA8" w:rsidRPr="003752CB">
        <w:t xml:space="preserve"> and skills development will pave the way for greater employment opportunities and</w:t>
      </w:r>
      <w:r w:rsidR="00177C9A" w:rsidRPr="003752CB">
        <w:t xml:space="preserve"> sustained</w:t>
      </w:r>
      <w:r w:rsidR="004C2FA8" w:rsidRPr="003752CB">
        <w:t xml:space="preserve"> workforce inclusion for persons with disabilities.</w:t>
      </w:r>
    </w:p>
    <w:p w14:paraId="70417246" w14:textId="54DDDCB4" w:rsidR="00272762" w:rsidRPr="003752CB" w:rsidRDefault="002F158A" w:rsidP="00E024DF">
      <w:pPr>
        <w:pStyle w:val="Heading1"/>
      </w:pPr>
      <w:r w:rsidRPr="003752CB">
        <w:t>Digit</w:t>
      </w:r>
      <w:r w:rsidR="00505186" w:rsidRPr="003752CB">
        <w:t>al Transformation</w:t>
      </w:r>
      <w:r w:rsidRPr="003752CB">
        <w:t xml:space="preserve"> and the Labour Market</w:t>
      </w:r>
    </w:p>
    <w:p w14:paraId="1DAAD9E7" w14:textId="7D48F6B3" w:rsidR="004B6BC0" w:rsidRPr="003752CB" w:rsidRDefault="00100406" w:rsidP="000D1713">
      <w:r w:rsidRPr="003752CB">
        <w:t>Canada’s labour market is</w:t>
      </w:r>
      <w:r w:rsidR="001758C6" w:rsidRPr="003752CB">
        <w:t xml:space="preserve"> undergoing rapid</w:t>
      </w:r>
      <w:r w:rsidR="005D694B" w:rsidRPr="003752CB">
        <w:t xml:space="preserve"> evolution</w:t>
      </w:r>
      <w:r w:rsidR="001758C6" w:rsidRPr="003752CB">
        <w:t xml:space="preserve">, driven </w:t>
      </w:r>
      <w:r w:rsidRPr="003752CB">
        <w:t>by</w:t>
      </w:r>
      <w:r w:rsidR="001B646F" w:rsidRPr="003752CB">
        <w:t xml:space="preserve"> shifts </w:t>
      </w:r>
      <w:r w:rsidR="006C4CEB" w:rsidRPr="003752CB">
        <w:t>toward automation</w:t>
      </w:r>
      <w:r w:rsidR="0048595D" w:rsidRPr="003752CB">
        <w:t>, digital</w:t>
      </w:r>
      <w:r w:rsidR="002D449E" w:rsidRPr="003752CB">
        <w:t xml:space="preserve"> transformation</w:t>
      </w:r>
      <w:r w:rsidR="0048595D" w:rsidRPr="003752CB">
        <w:t>, and</w:t>
      </w:r>
      <w:r w:rsidR="00C74E7F" w:rsidRPr="003752CB">
        <w:t xml:space="preserve"> increasingly</w:t>
      </w:r>
      <w:r w:rsidR="0048595D" w:rsidRPr="003752CB">
        <w:t xml:space="preserve"> knowledge-based </w:t>
      </w:r>
      <w:r w:rsidR="00C74E7F" w:rsidRPr="003752CB">
        <w:t>roles</w:t>
      </w:r>
      <w:r w:rsidR="00382CE7" w:rsidRPr="003752CB">
        <w:rPr>
          <w:rStyle w:val="EndnoteReference"/>
        </w:rPr>
        <w:endnoteReference w:id="5"/>
      </w:r>
      <w:r w:rsidR="00212A72" w:rsidRPr="003752CB">
        <w:t>.</w:t>
      </w:r>
      <w:r w:rsidR="001758C6" w:rsidRPr="003752CB">
        <w:t xml:space="preserve"> These </w:t>
      </w:r>
      <w:r w:rsidR="00C74E7F" w:rsidRPr="003752CB">
        <w:t>changes</w:t>
      </w:r>
      <w:r w:rsidR="001758C6" w:rsidRPr="003752CB">
        <w:t xml:space="preserve"> are redefining how</w:t>
      </w:r>
      <w:r w:rsidR="0009525F" w:rsidRPr="003752CB">
        <w:t xml:space="preserve"> we</w:t>
      </w:r>
      <w:r w:rsidR="001758C6" w:rsidRPr="003752CB">
        <w:t xml:space="preserve"> work</w:t>
      </w:r>
      <w:r w:rsidR="00E82449" w:rsidRPr="003752CB">
        <w:t xml:space="preserve">, </w:t>
      </w:r>
      <w:r w:rsidR="00E16A0C" w:rsidRPr="003752CB">
        <w:t xml:space="preserve">regardless of </w:t>
      </w:r>
      <w:r w:rsidR="00E82449" w:rsidRPr="003752CB">
        <w:t xml:space="preserve">whether employees </w:t>
      </w:r>
      <w:r w:rsidR="00E16A0C" w:rsidRPr="003752CB">
        <w:t xml:space="preserve">are working from home or </w:t>
      </w:r>
      <w:r w:rsidR="0011791B" w:rsidRPr="003752CB">
        <w:t>o</w:t>
      </w:r>
      <w:r w:rsidR="00E16A0C" w:rsidRPr="003752CB">
        <w:t>n location</w:t>
      </w:r>
      <w:r w:rsidR="0009525F" w:rsidRPr="003752CB">
        <w:t>.</w:t>
      </w:r>
    </w:p>
    <w:p w14:paraId="6D2D99E2" w14:textId="732D3D11" w:rsidR="00512B87" w:rsidRPr="003752CB" w:rsidRDefault="00512B87" w:rsidP="000D1713">
      <w:r w:rsidRPr="003752CB">
        <w:t>While digital transformation in all its forms offers new opportunities, it also risks deepening existing barriers, particularly for persons with disabilities who face persistent challenges in accessing digital infrastructure and skills development.</w:t>
      </w:r>
    </w:p>
    <w:p w14:paraId="5BFBE90E" w14:textId="298CA1C0" w:rsidR="0013383C" w:rsidRPr="003752CB" w:rsidRDefault="001402AB" w:rsidP="0013383C">
      <w:r w:rsidRPr="003752CB">
        <w:t>Both workers and</w:t>
      </w:r>
      <w:r w:rsidR="004833A8" w:rsidRPr="003752CB">
        <w:t xml:space="preserve"> employers are increasingly adopting</w:t>
      </w:r>
      <w:r w:rsidR="0013383C" w:rsidRPr="003752CB">
        <w:t xml:space="preserve"> generative Artificial Intelligence (AI)</w:t>
      </w:r>
      <w:r w:rsidR="00707E8A" w:rsidRPr="003752CB">
        <w:t xml:space="preserve"> tools</w:t>
      </w:r>
      <w:r w:rsidR="0013383C" w:rsidRPr="003752CB">
        <w:t xml:space="preserve"> (e.g., ChatGPT or Copilot), or AI which creates content such as text, audio, code, videos, and images, based on user inputs or short instructional texts, called ‘prompts’</w:t>
      </w:r>
      <w:r w:rsidR="00181922" w:rsidRPr="003752CB">
        <w:rPr>
          <w:rStyle w:val="EndnoteReference"/>
        </w:rPr>
        <w:endnoteReference w:id="6"/>
      </w:r>
      <w:r w:rsidR="0013383C" w:rsidRPr="003752CB">
        <w:t>.</w:t>
      </w:r>
      <w:r w:rsidRPr="003752CB">
        <w:t xml:space="preserve"> </w:t>
      </w:r>
      <w:r w:rsidR="0013383C" w:rsidRPr="003752CB">
        <w:t xml:space="preserve">According to KPMG, which surveyed 2,183 Canadian workers, the percentage of Canadians who use generative AI has jumped </w:t>
      </w:r>
      <w:r w:rsidR="0073389C" w:rsidRPr="003752CB">
        <w:t>significantly</w:t>
      </w:r>
      <w:r w:rsidR="0013383C" w:rsidRPr="003752CB">
        <w:t xml:space="preserve"> from 22% in 2023</w:t>
      </w:r>
      <w:r w:rsidR="0073389C" w:rsidRPr="003752CB">
        <w:t xml:space="preserve"> to 46% in 2024</w:t>
      </w:r>
      <w:r w:rsidR="0023240A" w:rsidRPr="003752CB">
        <w:rPr>
          <w:rStyle w:val="EndnoteReference"/>
        </w:rPr>
        <w:endnoteReference w:id="7"/>
      </w:r>
      <w:r w:rsidR="0013383C" w:rsidRPr="003752CB">
        <w:t>. Workers are mainly using generative AI for idea generation, research, and professional email writing</w:t>
      </w:r>
      <w:r w:rsidR="007B1FD4" w:rsidRPr="003752CB">
        <w:rPr>
          <w:rStyle w:val="EndnoteReference"/>
        </w:rPr>
        <w:endnoteReference w:customMarkFollows="1" w:id="8"/>
        <w:t>7</w:t>
      </w:r>
      <w:r w:rsidR="0013383C" w:rsidRPr="003752CB">
        <w:t>.</w:t>
      </w:r>
    </w:p>
    <w:p w14:paraId="5C1EBC44" w14:textId="2979B91C" w:rsidR="004B6BC0" w:rsidRPr="003752CB" w:rsidRDefault="0013383C" w:rsidP="000D1713">
      <w:r w:rsidRPr="003752CB">
        <w:t>The rise of AI tools in Canadian workplaces is also rapidly reshaping job roles, creating demand for new, specialized skills while making other jobs obsolete. By mid-2025, over 12% of Canadian businesses had incorporated AI technologies into their operations, and over 14% planned to in the future</w:t>
      </w:r>
      <w:r w:rsidR="00A76335" w:rsidRPr="003752CB">
        <w:rPr>
          <w:rStyle w:val="EndnoteReference"/>
        </w:rPr>
        <w:endnoteReference w:id="9"/>
      </w:r>
      <w:r w:rsidRPr="003752CB">
        <w:t>. While AI and technology-related roles, such as big data specialists, fintech engineers, and machine learning experts, are rapidly rising, traditional administrative and clerical roles, like bank tellers, data entry clerks, and executive assistants are experiencing notable declines</w:t>
      </w:r>
      <w:r w:rsidR="00C973ED" w:rsidRPr="003752CB">
        <w:rPr>
          <w:rStyle w:val="EndnoteReference"/>
        </w:rPr>
        <w:endnoteReference w:id="10"/>
      </w:r>
      <w:r w:rsidRPr="003752CB">
        <w:t xml:space="preserve">. AI and automation are also changing the skills employers are looking for. Multinational consulting firm Accenture, for example, </w:t>
      </w:r>
      <w:r w:rsidRPr="003752CB">
        <w:lastRenderedPageBreak/>
        <w:t>announced plans to reskill hundreds of thousands of workers on AI fundamentals, while “exiting” workers for whom reskilling was not a “viable path”</w:t>
      </w:r>
      <w:r w:rsidR="00F84147" w:rsidRPr="003752CB">
        <w:rPr>
          <w:rStyle w:val="EndnoteReference"/>
        </w:rPr>
        <w:endnoteReference w:id="11"/>
      </w:r>
      <w:r w:rsidRPr="003752CB">
        <w:t>.</w:t>
      </w:r>
    </w:p>
    <w:p w14:paraId="21F29303" w14:textId="3389138D" w:rsidR="0049622C" w:rsidRPr="003752CB" w:rsidRDefault="00D94791" w:rsidP="000D1713">
      <w:r w:rsidRPr="003752CB">
        <w:t>D</w:t>
      </w:r>
      <w:r w:rsidR="00ED3CA3" w:rsidRPr="003752CB">
        <w:t>igital skills are now essential across nearly every industry, underpinning everyday tasks</w:t>
      </w:r>
      <w:r w:rsidR="00CD782B" w:rsidRPr="003752CB">
        <w:t xml:space="preserve"> </w:t>
      </w:r>
      <w:r w:rsidR="00EC3C86" w:rsidRPr="003752CB">
        <w:t>from applying for jobs and accessing public services</w:t>
      </w:r>
      <w:r w:rsidRPr="003752CB">
        <w:t>,</w:t>
      </w:r>
      <w:r w:rsidR="00EC3C86" w:rsidRPr="003752CB">
        <w:t xml:space="preserve"> to managing health care and performing routine </w:t>
      </w:r>
      <w:r w:rsidRPr="003752CB">
        <w:t>tasks</w:t>
      </w:r>
      <w:r w:rsidR="00EC3C86" w:rsidRPr="003752CB">
        <w:t>.</w:t>
      </w:r>
      <w:r w:rsidR="001E2450" w:rsidRPr="003752CB">
        <w:t xml:space="preserve"> </w:t>
      </w:r>
      <w:r w:rsidR="00F57EF4" w:rsidRPr="003752CB">
        <w:t>For everyday tasks</w:t>
      </w:r>
      <w:r w:rsidR="00B7431F" w:rsidRPr="003752CB">
        <w:t xml:space="preserve"> across sectors</w:t>
      </w:r>
      <w:r w:rsidR="00F57EF4" w:rsidRPr="003752CB">
        <w:t>, e</w:t>
      </w:r>
      <w:r w:rsidR="001E2450" w:rsidRPr="003752CB">
        <w:t>mployers continue to prioritize foundational digital competencies such as email</w:t>
      </w:r>
      <w:r w:rsidR="00664689" w:rsidRPr="003752CB">
        <w:t xml:space="preserve"> (e.g., Outlook)</w:t>
      </w:r>
      <w:r w:rsidR="001E2450" w:rsidRPr="003752CB">
        <w:t>, video conferencing</w:t>
      </w:r>
      <w:r w:rsidR="00664689" w:rsidRPr="003752CB">
        <w:t xml:space="preserve"> (e.g., Z</w:t>
      </w:r>
      <w:r w:rsidR="00325662" w:rsidRPr="003752CB">
        <w:t>oom</w:t>
      </w:r>
      <w:r w:rsidR="00664689" w:rsidRPr="003752CB">
        <w:t>, Teams)</w:t>
      </w:r>
      <w:r w:rsidR="001E2450" w:rsidRPr="003752CB">
        <w:t>, and productivity software</w:t>
      </w:r>
      <w:r w:rsidR="00664689" w:rsidRPr="003752CB">
        <w:t xml:space="preserve"> (e.g., A</w:t>
      </w:r>
      <w:r w:rsidR="00325662" w:rsidRPr="003752CB">
        <w:t>sana</w:t>
      </w:r>
      <w:r w:rsidR="00664689" w:rsidRPr="003752CB">
        <w:t>, Slack)</w:t>
      </w:r>
      <w:r w:rsidR="001E2450" w:rsidRPr="003752CB">
        <w:t>, alongside soft skills like communication and problem-solving</w:t>
      </w:r>
      <w:r w:rsidR="00D32F71" w:rsidRPr="003752CB">
        <w:rPr>
          <w:rStyle w:val="EndnoteReference"/>
        </w:rPr>
        <w:endnoteReference w:id="12"/>
      </w:r>
      <w:r w:rsidR="001E2450" w:rsidRPr="003752CB">
        <w:t>.</w:t>
      </w:r>
    </w:p>
    <w:p w14:paraId="201FF7E0" w14:textId="0B4D3C7F" w:rsidR="00627682" w:rsidRDefault="00272762" w:rsidP="000D1713">
      <w:r w:rsidRPr="003752CB">
        <w:t>This evolving landscape</w:t>
      </w:r>
      <w:r w:rsidR="00627682" w:rsidRPr="003752CB">
        <w:t xml:space="preserve"> underscores the urgent need for accessible infrastructure</w:t>
      </w:r>
      <w:r w:rsidR="00C375D4" w:rsidRPr="003752CB">
        <w:t xml:space="preserve"> and </w:t>
      </w:r>
      <w:r w:rsidR="00627682" w:rsidRPr="003752CB">
        <w:t xml:space="preserve">inclusive, targeted digital training. Service providers, policymakers, and community leaders must work together to remove barriers and ensure that all </w:t>
      </w:r>
      <w:r w:rsidR="00546955" w:rsidRPr="003752CB">
        <w:t>Canadians, especially</w:t>
      </w:r>
      <w:r w:rsidR="00627682" w:rsidRPr="003752CB">
        <w:t xml:space="preserve"> </w:t>
      </w:r>
      <w:r w:rsidR="00EB7E7C" w:rsidRPr="003752CB">
        <w:t>persons</w:t>
      </w:r>
      <w:r w:rsidR="00627682" w:rsidRPr="003752CB">
        <w:t xml:space="preserve"> with disabilities and</w:t>
      </w:r>
      <w:r w:rsidR="00EB7E7C" w:rsidRPr="003752CB">
        <w:t xml:space="preserve"> other equity-denied </w:t>
      </w:r>
      <w:r w:rsidR="00546955" w:rsidRPr="003752CB">
        <w:t>groups, can</w:t>
      </w:r>
      <w:r w:rsidR="00627682" w:rsidRPr="003752CB">
        <w:t xml:space="preserve"> fully participate in the digital economy.</w:t>
      </w:r>
    </w:p>
    <w:p w14:paraId="3E8BA07E" w14:textId="77777777" w:rsidR="00FE17F3" w:rsidRDefault="00FE17F3" w:rsidP="00FE17F3">
      <w:pPr>
        <w:pStyle w:val="Heading3"/>
      </w:pPr>
      <w:r>
        <w:t>Remote Work: A Crucial Accommodation</w:t>
      </w:r>
    </w:p>
    <w:p w14:paraId="3AE91652" w14:textId="1A80B4B7" w:rsidR="00FE17F3" w:rsidRDefault="00FE17F3" w:rsidP="00FE17F3">
      <w:r>
        <w:t>The shift to remote and hybrid work during the COVID-19 pandemic opened new pathways to employment for many individuals with sensory, mobility, or transit-related barriers in traditional work environments. Remote and hybrid work created unprecedented opportunities for persons with disabilities by reducing commuting barriers, allowing flexible scheduling, and enabling customized home workstations. Many employees with disabilities reported feeling more productive and better able to manage pain, fatigue, or sensory sensitivities when working from home .</w:t>
      </w:r>
    </w:p>
    <w:p w14:paraId="6F73C6C0" w14:textId="49F63C6D" w:rsidR="00FE17F3" w:rsidRDefault="00FE17F3" w:rsidP="00FE17F3">
      <w:r>
        <w:t xml:space="preserve">According to a report by Globe Content Studio , KPMG found that 83% of Canadian employers anticipate a full return to the office between 2024 and 2027. As employers return to in-person models, there is a risk that these gains will be lost . Some organizations are eliminating remote options without adequate consultation or accommodations planning, forcing employees with disabilities to return to environments that may not meet their accessibility needs. This shift can result in increased absenteeism, job loss, or withdrawal from the workforce altogether. Without formal recognition of remote work as a legitimate accommodation, accessibility progress may be reversed14. </w:t>
      </w:r>
    </w:p>
    <w:p w14:paraId="71750689" w14:textId="479CB42D" w:rsidR="00FE17F3" w:rsidRPr="003752CB" w:rsidRDefault="00FE17F3" w:rsidP="00FE17F3">
      <w:r>
        <w:t>Policymakers should consider strengthening employment standards to protect remote work as an accessibility right, while equipping employers with the tools and guidance needed to implement inclusive practices effectively. For service providers and policymakers, remote and hybrid work is critical: preserving flexible work options and embedding remote work as an accommodation right under the Accessible Canada Act can help maintain and expand employment opportunities for persons with disabilities.</w:t>
      </w:r>
    </w:p>
    <w:p w14:paraId="76318717" w14:textId="77966EA7" w:rsidR="00E569CD" w:rsidRPr="003752CB" w:rsidRDefault="00E569CD" w:rsidP="00546955">
      <w:pPr>
        <w:pStyle w:val="Heading1"/>
      </w:pPr>
      <w:r w:rsidRPr="003752CB">
        <w:lastRenderedPageBreak/>
        <w:t>Digital</w:t>
      </w:r>
      <w:r w:rsidR="000A4235" w:rsidRPr="003752CB">
        <w:t xml:space="preserve"> Access </w:t>
      </w:r>
    </w:p>
    <w:p w14:paraId="06C89440" w14:textId="2CBFE343" w:rsidR="00DC56F7" w:rsidRPr="003752CB" w:rsidRDefault="009B3608" w:rsidP="00BD6E4F">
      <w:r w:rsidRPr="003752CB">
        <w:t>Digital access is</w:t>
      </w:r>
      <w:r w:rsidR="00055477" w:rsidRPr="003752CB">
        <w:t xml:space="preserve"> f</w:t>
      </w:r>
      <w:r w:rsidR="00AE70A2" w:rsidRPr="003752CB">
        <w:t>oundational</w:t>
      </w:r>
      <w:r w:rsidR="00055477" w:rsidRPr="003752CB">
        <w:t xml:space="preserve"> to </w:t>
      </w:r>
      <w:r w:rsidRPr="003752CB">
        <w:t>employment inclusion</w:t>
      </w:r>
      <w:r w:rsidR="00055477" w:rsidRPr="003752CB">
        <w:t xml:space="preserve"> because</w:t>
      </w:r>
      <w:r w:rsidR="000145EF" w:rsidRPr="003752CB">
        <w:t xml:space="preserve"> most job</w:t>
      </w:r>
      <w:r w:rsidR="00472134" w:rsidRPr="003752CB">
        <w:t>-related processes, f</w:t>
      </w:r>
      <w:r w:rsidR="000145EF" w:rsidRPr="003752CB">
        <w:t>rom appl</w:t>
      </w:r>
      <w:r w:rsidR="00472134" w:rsidRPr="003752CB">
        <w:t>ications</w:t>
      </w:r>
      <w:r w:rsidR="000145EF" w:rsidRPr="003752CB">
        <w:t xml:space="preserve"> to onboarding and training, </w:t>
      </w:r>
      <w:r w:rsidR="00472134" w:rsidRPr="003752CB">
        <w:t>depend on</w:t>
      </w:r>
      <w:r w:rsidR="000145EF" w:rsidRPr="003752CB">
        <w:t xml:space="preserve"> reliable Internet, </w:t>
      </w:r>
      <w:r w:rsidR="000C77FF" w:rsidRPr="003752CB">
        <w:t>appropriate</w:t>
      </w:r>
      <w:r w:rsidR="000145EF" w:rsidRPr="003752CB">
        <w:t xml:space="preserve"> devices, and</w:t>
      </w:r>
      <w:r w:rsidR="000C77FF" w:rsidRPr="003752CB">
        <w:t xml:space="preserve"> </w:t>
      </w:r>
      <w:r w:rsidR="000145EF" w:rsidRPr="003752CB">
        <w:t>digital skills.</w:t>
      </w:r>
    </w:p>
    <w:p w14:paraId="72FBB776" w14:textId="587E4F6A" w:rsidR="00C35088" w:rsidRPr="003752CB" w:rsidRDefault="00DC56F7" w:rsidP="00BD6E4F">
      <w:r w:rsidRPr="003752CB">
        <w:rPr>
          <w:b/>
          <w:bCs/>
        </w:rPr>
        <w:t>I</w:t>
      </w:r>
      <w:r w:rsidR="000C77FF" w:rsidRPr="003752CB">
        <w:rPr>
          <w:b/>
          <w:bCs/>
        </w:rPr>
        <w:t>n Canada, d</w:t>
      </w:r>
      <w:r w:rsidR="00B750F6" w:rsidRPr="003752CB">
        <w:rPr>
          <w:b/>
          <w:bCs/>
        </w:rPr>
        <w:t>igital access</w:t>
      </w:r>
      <w:r w:rsidR="00B750F6" w:rsidRPr="003752CB">
        <w:t xml:space="preserve"> </w:t>
      </w:r>
      <w:r w:rsidR="00F42100" w:rsidRPr="003752CB">
        <w:t>means</w:t>
      </w:r>
      <w:r w:rsidR="00B750F6" w:rsidRPr="003752CB">
        <w:t xml:space="preserve"> </w:t>
      </w:r>
      <w:r w:rsidR="00F42100" w:rsidRPr="003752CB">
        <w:t>all</w:t>
      </w:r>
      <w:r w:rsidR="00CA31ED" w:rsidRPr="003752CB">
        <w:t xml:space="preserve"> </w:t>
      </w:r>
      <w:r w:rsidR="00B750F6" w:rsidRPr="003752CB">
        <w:t>individuals and communities</w:t>
      </w:r>
      <w:r w:rsidR="00CA31ED" w:rsidRPr="003752CB">
        <w:t xml:space="preserve"> </w:t>
      </w:r>
      <w:r w:rsidR="00F42100" w:rsidRPr="003752CB">
        <w:t>can</w:t>
      </w:r>
      <w:r w:rsidR="00B750F6" w:rsidRPr="003752CB">
        <w:t xml:space="preserve"> reliably connect to the </w:t>
      </w:r>
      <w:r w:rsidR="00EE03D2" w:rsidRPr="003752CB">
        <w:t>Internet</w:t>
      </w:r>
      <w:r w:rsidR="00B750F6" w:rsidRPr="003752CB">
        <w:t xml:space="preserve"> and use digital technologies to participate fully in society</w:t>
      </w:r>
      <w:r w:rsidR="00093215" w:rsidRPr="003752CB">
        <w:rPr>
          <w:rStyle w:val="EndnoteReference"/>
        </w:rPr>
        <w:endnoteReference w:id="13"/>
      </w:r>
      <w:r w:rsidR="00B750F6" w:rsidRPr="003752CB">
        <w:t>.</w:t>
      </w:r>
    </w:p>
    <w:p w14:paraId="5C6B3304" w14:textId="6C312763" w:rsidR="00B750F6" w:rsidRPr="003752CB" w:rsidRDefault="00B750F6" w:rsidP="00CE3384">
      <w:r w:rsidRPr="003752CB">
        <w:rPr>
          <w:b/>
          <w:bCs/>
        </w:rPr>
        <w:t>Canada’s Digital Charter</w:t>
      </w:r>
      <w:r w:rsidRPr="003752CB">
        <w:t xml:space="preserve"> emphasizes </w:t>
      </w:r>
      <w:r w:rsidRPr="003752CB">
        <w:rPr>
          <w:b/>
          <w:bCs/>
        </w:rPr>
        <w:t>universal access</w:t>
      </w:r>
      <w:r w:rsidR="00680716" w:rsidRPr="003752CB">
        <w:t xml:space="preserve">: </w:t>
      </w:r>
      <w:r w:rsidRPr="003752CB">
        <w:t>the principle that all Canadians should have equal opportunity to participate in the digital world, with access to connectivity, literacy, and skills</w:t>
      </w:r>
      <w:r w:rsidR="002B0ACD" w:rsidRPr="003752CB">
        <w:rPr>
          <w:rStyle w:val="EndnoteReference"/>
        </w:rPr>
        <w:endnoteReference w:id="14"/>
      </w:r>
      <w:r w:rsidRPr="003752CB">
        <w:t>.  The Canadian Radio-television and Telecommunications Commission (CRTC) has also declared broadband Internet a basic right</w:t>
      </w:r>
      <w:r w:rsidR="0094161A" w:rsidRPr="003752CB">
        <w:rPr>
          <w:rStyle w:val="EndnoteReference"/>
        </w:rPr>
        <w:endnoteReference w:id="15"/>
      </w:r>
      <w:r w:rsidRPr="003752CB">
        <w:t xml:space="preserve">. </w:t>
      </w:r>
      <w:r w:rsidRPr="003752CB">
        <w:rPr>
          <w:b/>
          <w:bCs/>
        </w:rPr>
        <w:t>Canada’s Connectivity Strategy</w:t>
      </w:r>
      <w:r w:rsidRPr="003752CB">
        <w:t xml:space="preserve"> commits to providing 95% of Canadians with high-speed Internet by 2026 and 100% by 2030</w:t>
      </w:r>
      <w:r w:rsidR="007B2232" w:rsidRPr="003752CB">
        <w:rPr>
          <w:rStyle w:val="EndnoteReference"/>
        </w:rPr>
        <w:endnoteReference w:id="16"/>
      </w:r>
      <w:r w:rsidRPr="003752CB">
        <w:t>.</w:t>
      </w:r>
    </w:p>
    <w:p w14:paraId="609F2B3E" w14:textId="00B979B1" w:rsidR="00C27A78" w:rsidRPr="003752CB" w:rsidRDefault="00B73741" w:rsidP="00CA31ED">
      <w:r w:rsidRPr="003752CB">
        <w:t>N</w:t>
      </w:r>
      <w:r w:rsidR="00CD7C61" w:rsidRPr="003752CB">
        <w:t>ot all persons with disabilities h</w:t>
      </w:r>
      <w:r w:rsidR="00D3436F" w:rsidRPr="003752CB">
        <w:t xml:space="preserve">ave </w:t>
      </w:r>
      <w:r w:rsidR="00CD7C61" w:rsidRPr="003752CB">
        <w:t>acces</w:t>
      </w:r>
      <w:r w:rsidRPr="003752CB">
        <w:t>s</w:t>
      </w:r>
      <w:r w:rsidR="00D3436F" w:rsidRPr="003752CB">
        <w:t xml:space="preserve"> to reliable Internet </w:t>
      </w:r>
      <w:r w:rsidR="00501666" w:rsidRPr="003752CB">
        <w:t>and/or digital technology</w:t>
      </w:r>
      <w:r w:rsidRPr="003752CB">
        <w:t>, due to</w:t>
      </w:r>
      <w:r w:rsidR="00C27A78" w:rsidRPr="003752CB">
        <w:t xml:space="preserve"> </w:t>
      </w:r>
      <w:r w:rsidR="00D31DA2" w:rsidRPr="003752CB">
        <w:t xml:space="preserve">a </w:t>
      </w:r>
      <w:r w:rsidR="00C27A78" w:rsidRPr="003752CB">
        <w:t>combination of factors, including an inequitable distribution of resources and access to infrastructure (e.g., reliable Internet access</w:t>
      </w:r>
      <w:r w:rsidR="00B12118" w:rsidRPr="003752CB">
        <w:t>, personal computers, smartphones, etc.</w:t>
      </w:r>
      <w:r w:rsidR="00C27A78" w:rsidRPr="003752CB">
        <w:t xml:space="preserve">). </w:t>
      </w:r>
      <w:r w:rsidR="00C27A78" w:rsidRPr="003752CB">
        <w:rPr>
          <w:rFonts w:cs="Calibri"/>
        </w:rPr>
        <w:t xml:space="preserve">These issues </w:t>
      </w:r>
      <w:r w:rsidR="00C27A78" w:rsidRPr="003752CB">
        <w:t>compound other inequities in a workforce increasingly shaped by digital technologies</w:t>
      </w:r>
      <w:r w:rsidR="006F314B" w:rsidRPr="003752CB">
        <w:rPr>
          <w:rStyle w:val="EndnoteReference"/>
        </w:rPr>
        <w:endnoteReference w:id="17"/>
      </w:r>
      <w:r w:rsidR="00C27A78" w:rsidRPr="003752CB">
        <w:rPr>
          <w:rFonts w:cs="Calibri"/>
        </w:rPr>
        <w:t>.</w:t>
      </w:r>
      <w:r w:rsidR="00242CA9" w:rsidRPr="003752CB">
        <w:rPr>
          <w:rFonts w:cs="Calibri"/>
        </w:rPr>
        <w:t xml:space="preserve"> Ensuring equitable digital access is therefore critical to advancing employment equity and enabling full participation in Canada’s labor market.</w:t>
      </w:r>
    </w:p>
    <w:p w14:paraId="6733A1AA" w14:textId="77777777" w:rsidR="001E51B5" w:rsidRPr="003752CB" w:rsidRDefault="001E51B5" w:rsidP="00974F26">
      <w:pPr>
        <w:pStyle w:val="Heading3"/>
      </w:pPr>
      <w:r w:rsidRPr="003752CB">
        <w:t>Socioeconomic Inequities</w:t>
      </w:r>
    </w:p>
    <w:p w14:paraId="42CDEF3E" w14:textId="5F686E91" w:rsidR="001E51B5" w:rsidRPr="003752CB" w:rsidRDefault="00B12118" w:rsidP="001E51B5">
      <w:r w:rsidRPr="003752CB">
        <w:t xml:space="preserve">Socioeconomic inequities exist </w:t>
      </w:r>
      <w:r w:rsidR="00DA7CCC" w:rsidRPr="003752CB">
        <w:t>which impact persons with disabilities’ ability to</w:t>
      </w:r>
      <w:r w:rsidR="00875CA9" w:rsidRPr="003752CB">
        <w:t xml:space="preserve"> access Internet-enabled technology and</w:t>
      </w:r>
      <w:r w:rsidR="00DA7CCC" w:rsidRPr="003752CB">
        <w:t xml:space="preserve"> find, obtain, and maintain employment</w:t>
      </w:r>
      <w:r w:rsidRPr="003752CB">
        <w:t xml:space="preserve">. </w:t>
      </w:r>
      <w:r w:rsidR="001E51B5" w:rsidRPr="003752CB">
        <w:t xml:space="preserve">Barriers to Internet use are more common among those in lower income groups. According to the 2022 </w:t>
      </w:r>
      <w:r w:rsidR="001E51B5" w:rsidRPr="003752CB">
        <w:rPr>
          <w:i/>
          <w:iCs/>
        </w:rPr>
        <w:t>Canadian Survey on Disability</w:t>
      </w:r>
      <w:r w:rsidR="00DA7CCC" w:rsidRPr="003752CB">
        <w:rPr>
          <w:i/>
          <w:iCs/>
        </w:rPr>
        <w:t xml:space="preserve"> </w:t>
      </w:r>
      <w:r w:rsidR="00DA7CCC" w:rsidRPr="003752CB">
        <w:t>(CSD</w:t>
      </w:r>
      <w:r w:rsidR="00DA7CCC" w:rsidRPr="003752CB">
        <w:rPr>
          <w:i/>
          <w:iCs/>
        </w:rPr>
        <w:t>)</w:t>
      </w:r>
      <w:r w:rsidR="001E51B5" w:rsidRPr="003752CB">
        <w:t>, individuals with disabilities have a lower median income ($38,810) compared to those without disabilities ($46,080), limiting their ability to afford digital devices or high-speed Internet</w:t>
      </w:r>
      <w:r w:rsidR="008F0944" w:rsidRPr="003752CB">
        <w:rPr>
          <w:rStyle w:val="EndnoteReference"/>
        </w:rPr>
        <w:endnoteReference w:id="18"/>
      </w:r>
      <w:r w:rsidR="001E51B5" w:rsidRPr="003752CB">
        <w:t>. While 14% of people with disabilities in higher income brackets reported such barriers, the rate rises to 20% among those in lower income households</w:t>
      </w:r>
      <w:r w:rsidR="00F20E5A" w:rsidRPr="003752CB">
        <w:rPr>
          <w:rStyle w:val="EndnoteReference"/>
        </w:rPr>
        <w:endnoteReference w:id="19"/>
      </w:r>
      <w:r w:rsidR="001E51B5" w:rsidRPr="003752CB">
        <w:t>.</w:t>
      </w:r>
    </w:p>
    <w:p w14:paraId="715FFA5B" w14:textId="667E2928" w:rsidR="001E51B5" w:rsidRPr="003752CB" w:rsidRDefault="003517E9" w:rsidP="001E51B5">
      <w:r w:rsidRPr="003752CB">
        <w:t>These challenges are not experienced equally among persons with disabilities. Race, income, gender identity, immigration status, and other demographic factors can compound digital exclusion. For example, the CSD shows that immigrants with disabilities (19%) and people living in low-income households (20%) are more likely to face digital barriers, as are 2SLGBTQIAA+ respondents</w:t>
      </w:r>
      <w:r w:rsidR="00971BD1" w:rsidRPr="003752CB">
        <w:rPr>
          <w:rStyle w:val="EndnoteReference"/>
        </w:rPr>
        <w:endnoteReference w:id="20"/>
      </w:r>
      <w:r w:rsidRPr="003752CB">
        <w:t xml:space="preserve">. </w:t>
      </w:r>
      <w:r w:rsidR="001E51B5" w:rsidRPr="003752CB">
        <w:t xml:space="preserve">Many individuals from low-income households rely on shared or borrowed devices or public Wi-Fi, making it difficult to search for jobs, participate in virtual interviews, or access online training, especially in rural and </w:t>
      </w:r>
      <w:r w:rsidR="001E51B5" w:rsidRPr="003752CB">
        <w:lastRenderedPageBreak/>
        <w:t>remote communities where high-speed Internet is often unavailable or unaffordable</w:t>
      </w:r>
      <w:r w:rsidR="00917C08" w:rsidRPr="003752CB">
        <w:rPr>
          <w:rStyle w:val="EndnoteReference"/>
        </w:rPr>
        <w:endnoteReference w:customMarkFollows="1" w:id="21"/>
        <w:t>19</w:t>
      </w:r>
      <w:r w:rsidR="001E51B5" w:rsidRPr="003752CB">
        <w:t>.  In Canada, 17% of persons with disabilities aged 15 and older report barriers to Internet use, rising to 28% among those with very severe disabilities</w:t>
      </w:r>
      <w:r w:rsidR="0046564A" w:rsidRPr="003752CB">
        <w:rPr>
          <w:rStyle w:val="EndnoteReference"/>
        </w:rPr>
        <w:endnoteReference w:customMarkFollows="1" w:id="22"/>
        <w:t>21</w:t>
      </w:r>
      <w:r w:rsidR="001E51B5" w:rsidRPr="003752CB">
        <w:t xml:space="preserve">. </w:t>
      </w:r>
      <w:r w:rsidR="002161EA" w:rsidRPr="003752CB">
        <w:rPr>
          <w:rFonts w:cs="Calibri"/>
        </w:rPr>
        <w:t>These disparities are especially concerning given that Internet access is increasingly recognized as a basic human right and a vital social determinant of health</w:t>
      </w:r>
      <w:r w:rsidR="0046564A" w:rsidRPr="003752CB">
        <w:rPr>
          <w:rStyle w:val="EndnoteReference"/>
          <w:rFonts w:cs="Calibri"/>
        </w:rPr>
        <w:endnoteReference w:customMarkFollows="1" w:id="23"/>
        <w:t>19</w:t>
      </w:r>
      <w:r w:rsidR="002161EA" w:rsidRPr="003752CB">
        <w:rPr>
          <w:rFonts w:cs="Calibri"/>
        </w:rPr>
        <w:t>.</w:t>
      </w:r>
    </w:p>
    <w:p w14:paraId="0A14774A" w14:textId="77C94AED" w:rsidR="001E51B5" w:rsidRPr="003752CB" w:rsidRDefault="001E51B5" w:rsidP="001E51B5">
      <w:r w:rsidRPr="003752CB">
        <w:t>Evidence shows higher-income job seekers benefit from personal networks or offline recruitment methods</w:t>
      </w:r>
      <w:r w:rsidR="00CD3605" w:rsidRPr="003752CB">
        <w:rPr>
          <w:rStyle w:val="EndnoteReference"/>
        </w:rPr>
        <w:endnoteReference w:id="24"/>
      </w:r>
      <w:r w:rsidRPr="003752CB">
        <w:t xml:space="preserve">, while those with lower incomes are often more dependent on digital tools, even while they face the greatest obstacles to using them. </w:t>
      </w:r>
      <w:r w:rsidR="00CA31ED" w:rsidRPr="003752CB">
        <w:t>J</w:t>
      </w:r>
      <w:r w:rsidRPr="003752CB">
        <w:t xml:space="preserve">ob search </w:t>
      </w:r>
      <w:r w:rsidR="007742E7" w:rsidRPr="003752CB">
        <w:t xml:space="preserve">and application </w:t>
      </w:r>
      <w:r w:rsidRPr="003752CB">
        <w:t xml:space="preserve">processes </w:t>
      </w:r>
      <w:r w:rsidR="00CA31ED" w:rsidRPr="003752CB">
        <w:t>now take place primarily online</w:t>
      </w:r>
      <w:r w:rsidR="007742E7" w:rsidRPr="003752CB">
        <w:t>, and d</w:t>
      </w:r>
      <w:r w:rsidRPr="003752CB">
        <w:t>igital platforms host job postings, networking opportunities, and career development resources</w:t>
      </w:r>
      <w:r w:rsidR="00F964E2" w:rsidRPr="003752CB">
        <w:rPr>
          <w:rStyle w:val="EndnoteReference"/>
        </w:rPr>
        <w:endnoteReference w:customMarkFollows="1" w:id="25"/>
        <w:t>23.</w:t>
      </w:r>
      <w:r w:rsidR="00F964E2" w:rsidRPr="003752CB">
        <w:t>,</w:t>
      </w:r>
      <w:r w:rsidR="00F964E2" w:rsidRPr="003752CB">
        <w:rPr>
          <w:rStyle w:val="EndnoteReference"/>
        </w:rPr>
        <w:endnoteReference w:id="26"/>
      </w:r>
      <w:r w:rsidRPr="003752CB">
        <w:t>.</w:t>
      </w:r>
    </w:p>
    <w:p w14:paraId="6D8AEE5F" w14:textId="101AB327" w:rsidR="002C31F9" w:rsidRPr="003752CB" w:rsidRDefault="002C31F9" w:rsidP="001E51B5">
      <w:pPr>
        <w:rPr>
          <w:rFonts w:cs="Calibri"/>
        </w:rPr>
      </w:pPr>
      <w:r w:rsidRPr="003752CB">
        <w:t>A</w:t>
      </w:r>
      <w:r w:rsidRPr="003752CB">
        <w:rPr>
          <w:rFonts w:cs="Calibri"/>
        </w:rPr>
        <w:t>ddressing the resource divide</w:t>
      </w:r>
      <w:r w:rsidRPr="003752CB">
        <w:t xml:space="preserve"> </w:t>
      </w:r>
      <w:r w:rsidRPr="003752CB">
        <w:rPr>
          <w:rFonts w:cs="Calibri"/>
        </w:rPr>
        <w:t>through measures like subsidizing digital devices and expanding affordable high-speed Internet is essential to ensuring equitable participation in the future of work.</w:t>
      </w:r>
    </w:p>
    <w:p w14:paraId="31A79D0C" w14:textId="42D56812" w:rsidR="00EA1DA3" w:rsidRPr="003752CB" w:rsidRDefault="00772B35" w:rsidP="008E3A92">
      <w:pPr>
        <w:pStyle w:val="Heading1"/>
      </w:pPr>
      <w:r w:rsidRPr="003752CB">
        <w:t xml:space="preserve">Digital Accessibility </w:t>
      </w:r>
    </w:p>
    <w:p w14:paraId="28DCAE48" w14:textId="77777777" w:rsidR="00D90518" w:rsidRPr="003752CB" w:rsidRDefault="00663CF9" w:rsidP="001E51B5">
      <w:r w:rsidRPr="003752CB">
        <w:t xml:space="preserve">Affordable </w:t>
      </w:r>
      <w:r w:rsidR="00C42CF3" w:rsidRPr="003752CB">
        <w:t>I</w:t>
      </w:r>
      <w:r w:rsidRPr="003752CB">
        <w:t>nternet and devices alone do not guarantee digital inclusion</w:t>
      </w:r>
      <w:r w:rsidR="00EE04F1" w:rsidRPr="003752CB">
        <w:t>; digital accessibility is also necessary</w:t>
      </w:r>
      <w:r w:rsidR="00F00DFA" w:rsidRPr="003752CB">
        <w:t xml:space="preserve">. </w:t>
      </w:r>
      <w:r w:rsidR="00850FCE" w:rsidRPr="003752CB">
        <w:rPr>
          <w:b/>
          <w:bCs/>
        </w:rPr>
        <w:t>Digital accessibility</w:t>
      </w:r>
      <w:r w:rsidR="00850FCE" w:rsidRPr="003752CB">
        <w:t xml:space="preserve"> refers to whether digital environments like websites, applications, and online services are designed to be usable by all, including persons with disabilities</w:t>
      </w:r>
      <w:r w:rsidR="004B4114" w:rsidRPr="003752CB">
        <w:rPr>
          <w:rStyle w:val="EndnoteReference"/>
        </w:rPr>
        <w:endnoteReference w:id="27"/>
      </w:r>
      <w:r w:rsidR="00850FCE" w:rsidRPr="003752CB">
        <w:t xml:space="preserve">. </w:t>
      </w:r>
      <w:r w:rsidR="001E51B5" w:rsidRPr="003752CB">
        <w:t>Even when Internet access is available, digital platforms often lack accessibility features such as screen reader compatibility, closed captioning, and customizable text.</w:t>
      </w:r>
    </w:p>
    <w:p w14:paraId="2AE396F5" w14:textId="7F0E6CF8" w:rsidR="00A834FA" w:rsidRPr="003752CB" w:rsidRDefault="00D90518" w:rsidP="00A834FA">
      <w:r w:rsidRPr="003752CB">
        <w:rPr>
          <w:lang w:val="en-US"/>
        </w:rPr>
        <w:t xml:space="preserve">Recent Canadian data underscores the scale of the problem. </w:t>
      </w:r>
      <w:r w:rsidRPr="003752CB">
        <w:t>In 2024, approximately 23% of Canadians aged 15 and older with one or more disabilities – 1.4 million out of around 6 million – encountered at least one barrier when using the Internet</w:t>
      </w:r>
      <w:r w:rsidRPr="003752CB">
        <w:rPr>
          <w:rStyle w:val="EndnoteReference"/>
        </w:rPr>
        <w:endnoteReference w:id="28"/>
      </w:r>
      <w:r w:rsidRPr="003752CB">
        <w:t>. Common challenges include high costs for adaptive features, inconsistent functionality of accessibility tools, and lack of access to specialized hardware or software</w:t>
      </w:r>
      <w:r w:rsidRPr="003752CB">
        <w:rPr>
          <w:rStyle w:val="EndnoteReference"/>
        </w:rPr>
        <w:endnoteReference w:customMarkFollows="1" w:id="29"/>
        <w:t>32</w:t>
      </w:r>
      <w:r w:rsidRPr="003752CB">
        <w:t xml:space="preserve">. </w:t>
      </w:r>
      <w:r w:rsidR="00BF60CE" w:rsidRPr="003752CB">
        <w:t xml:space="preserve">Barriers </w:t>
      </w:r>
      <w:r w:rsidR="000F47F4" w:rsidRPr="003752CB">
        <w:t>within the digital environment</w:t>
      </w:r>
      <w:r w:rsidR="00A834FA" w:rsidRPr="003752CB">
        <w:t xml:space="preserve"> include websites incompatible with assistive technologies, media lacking captions or alternative text, and digital services designed without accessibility in mind.</w:t>
      </w:r>
    </w:p>
    <w:p w14:paraId="47E70045" w14:textId="2BCFB720" w:rsidR="001E51B5" w:rsidRPr="003752CB" w:rsidRDefault="001E51B5" w:rsidP="001E51B5">
      <w:r w:rsidRPr="003752CB">
        <w:t>These design flaws further exclude individuals from critical employment-related activities, including searching for job postings, submitting applications, communicating with potential employers, developing professional networks, and accessing career development resources</w:t>
      </w:r>
      <w:r w:rsidR="00283CA5" w:rsidRPr="003752CB">
        <w:rPr>
          <w:rStyle w:val="EndnoteReference"/>
        </w:rPr>
        <w:endnoteReference w:id="30"/>
      </w:r>
      <w:r w:rsidRPr="003752CB">
        <w:t>.</w:t>
      </w:r>
    </w:p>
    <w:p w14:paraId="4E6DD2EE" w14:textId="7BB919A4" w:rsidR="00CA5F3F" w:rsidRDefault="001E51B5" w:rsidP="001E51B5">
      <w:r w:rsidRPr="003752CB">
        <w:t xml:space="preserve">In some cases, digital technologies can also actively exclude people with disabilities by perpetuating human stigmas. Algorithms used by AI tools (e.g., job application screening </w:t>
      </w:r>
      <w:r w:rsidRPr="003752CB">
        <w:lastRenderedPageBreak/>
        <w:t>software) are rarely trained on diverse datasets that include people with disabilities and often learn biases from their training data</w:t>
      </w:r>
      <w:r w:rsidR="002F3020" w:rsidRPr="003752CB">
        <w:rPr>
          <w:rStyle w:val="EndnoteReference"/>
        </w:rPr>
        <w:endnoteReference w:id="31"/>
      </w:r>
      <w:r w:rsidRPr="003752CB">
        <w:t>.</w:t>
      </w:r>
      <w:r w:rsidR="00BB45C2" w:rsidRPr="003752CB">
        <w:t xml:space="preserve"> Since AI tools are trained based on input from human users, ableism can </w:t>
      </w:r>
      <w:r w:rsidR="008E3A92" w:rsidRPr="003752CB">
        <w:t>(</w:t>
      </w:r>
      <w:r w:rsidR="00BB45C2" w:rsidRPr="003752CB">
        <w:t>and ha</w:t>
      </w:r>
      <w:r w:rsidR="008E3A92" w:rsidRPr="003752CB">
        <w:t>s)</w:t>
      </w:r>
      <w:r w:rsidR="00BB45C2" w:rsidRPr="003752CB">
        <w:t xml:space="preserve"> </w:t>
      </w:r>
      <w:r w:rsidR="00231463" w:rsidRPr="003752CB">
        <w:t xml:space="preserve">negatively impacted resume screening processes, sometimes excluding applicants whose </w:t>
      </w:r>
      <w:r w:rsidR="00652224" w:rsidRPr="003752CB">
        <w:t xml:space="preserve">volunteer or employment history </w:t>
      </w:r>
      <w:r w:rsidR="00231463" w:rsidRPr="003752CB">
        <w:t xml:space="preserve">includes </w:t>
      </w:r>
      <w:r w:rsidR="00652224" w:rsidRPr="003752CB">
        <w:t>disability organizations or advocacy</w:t>
      </w:r>
      <w:r w:rsidR="004E0338" w:rsidRPr="003752CB">
        <w:rPr>
          <w:rStyle w:val="EndnoteReference"/>
        </w:rPr>
        <w:endnoteReference w:id="32"/>
      </w:r>
      <w:r w:rsidR="00234754" w:rsidRPr="003752CB">
        <w:t>.</w:t>
      </w:r>
    </w:p>
    <w:p w14:paraId="19AF7925" w14:textId="77777777" w:rsidR="00FE17F3" w:rsidRDefault="00FE17F3" w:rsidP="00FE17F3">
      <w:pPr>
        <w:pStyle w:val="Heading3"/>
      </w:pPr>
      <w:r>
        <w:t>Illustrative Case: Alex’s Job Search Journey and Inaccessible Technology</w:t>
      </w:r>
    </w:p>
    <w:p w14:paraId="24BDA8EF" w14:textId="79068C53" w:rsidR="00FE17F3" w:rsidRDefault="00FE17F3" w:rsidP="00FE17F3">
      <w:r>
        <w:t>Alex, a jobseeker with a visual disability, lives in a mid-sized Canadian city and is actively seeking employment in administration.</w:t>
      </w:r>
    </w:p>
    <w:p w14:paraId="65B9F236" w14:textId="1E9C54B6" w:rsidR="00FE17F3" w:rsidRDefault="00FE17F3" w:rsidP="00FE17F3">
      <w:r>
        <w:t>Alex tries to apply for an office administrator role through a popular job portal. However, the site’s form fields lack proper labels and keyboard accessibility. Due to poor HTML coding, Alex’s screen reader cannot interpret or interact with the application form. Despite being fully qualified, Alex is unable to submit their application. Approximately 35% of Canadians with disabilities reported technology barriers while filling out digital applications in 2025.</w:t>
      </w:r>
    </w:p>
    <w:p w14:paraId="44E6499F" w14:textId="3F15DEB5" w:rsidR="00FE17F3" w:rsidRDefault="00FE17F3" w:rsidP="00FE17F3">
      <w:r>
        <w:t>On a more accessible platform, Alex applies for another position and includes volunteer experience in disability advocacy. Unfortunately, the AI-powered resume screener flags this as a negative indicator, associating disability-related content with reduced qualifications; a barrier which occurs with AI tools. Alex’s application is filtered out before reaching a human reviewer.</w:t>
      </w:r>
    </w:p>
    <w:p w14:paraId="7B915E5B" w14:textId="08552B64" w:rsidR="00FE17F3" w:rsidRDefault="00FE17F3" w:rsidP="00FE17F3">
      <w:r>
        <w:t>After repeated rejections, Alex is left without feedback or clarity. These barriers prevent them from showcasing their skills, accessing interviews, or participating in upskilling opportunities. Over time, these discouraging experiences diminish confidence and perpetuate employment instability.</w:t>
      </w:r>
    </w:p>
    <w:p w14:paraId="1A84AA1C" w14:textId="77777777" w:rsidR="00FE17F3" w:rsidRDefault="00FE17F3" w:rsidP="00544075">
      <w:r>
        <w:t>Alex’s experience highlights the need to address digital inaccessibility through accessible design standards for job platforms, bias audits and inclusive datasets for AI tools, investment in infrastructure such as subsidized devices and affordable high-speed Internet, and digital skills training programs tailored towards persons with disabilities. Without these interventions, the digital divide will continue to undermine equitable participation in the workforce and long-term skill development.</w:t>
      </w:r>
    </w:p>
    <w:p w14:paraId="0D8D6A7D" w14:textId="77777777" w:rsidR="00FE17F3" w:rsidRDefault="00FE17F3" w:rsidP="00544075">
      <w:pPr>
        <w:rPr>
          <w:rFonts w:cs="Calibri"/>
        </w:rPr>
      </w:pPr>
    </w:p>
    <w:p w14:paraId="40E68A39" w14:textId="21823053" w:rsidR="00CD7A97" w:rsidRDefault="00CD7A97" w:rsidP="00544075">
      <w:pPr>
        <w:rPr>
          <w:rFonts w:cs="Calibri"/>
        </w:rPr>
      </w:pPr>
      <w:r w:rsidRPr="003752CB">
        <w:rPr>
          <w:rFonts w:cs="Calibri"/>
        </w:rPr>
        <w:t>Investing in accessible</w:t>
      </w:r>
      <w:r w:rsidR="00A52F49" w:rsidRPr="003752CB">
        <w:rPr>
          <w:rFonts w:cs="Calibri"/>
        </w:rPr>
        <w:t xml:space="preserve"> online</w:t>
      </w:r>
      <w:r w:rsidR="00340FDE" w:rsidRPr="003752CB">
        <w:rPr>
          <w:rFonts w:cs="Calibri"/>
        </w:rPr>
        <w:t xml:space="preserve"> content</w:t>
      </w:r>
      <w:r w:rsidRPr="003752CB">
        <w:rPr>
          <w:rFonts w:cs="Calibri"/>
        </w:rPr>
        <w:t xml:space="preserve"> </w:t>
      </w:r>
      <w:r w:rsidR="00BE5DC6" w:rsidRPr="003752CB">
        <w:rPr>
          <w:rFonts w:cs="Calibri"/>
        </w:rPr>
        <w:t>and</w:t>
      </w:r>
      <w:r w:rsidRPr="003752CB">
        <w:rPr>
          <w:rFonts w:cs="Calibri"/>
        </w:rPr>
        <w:t xml:space="preserve"> advocating for the ethical deployment of AI technology</w:t>
      </w:r>
      <w:r w:rsidRPr="003752CB">
        <w:t xml:space="preserve"> </w:t>
      </w:r>
      <w:r w:rsidRPr="003752CB">
        <w:rPr>
          <w:rFonts w:cs="Calibri"/>
        </w:rPr>
        <w:t xml:space="preserve">is essential to reducing employment barriers. Beyond immediate access barriers, digital inaccessibility also undermines long-term skill development, leaving workers with disabilities less equipped to compete in a labour market increasingly shaped </w:t>
      </w:r>
      <w:r w:rsidRPr="003752CB">
        <w:rPr>
          <w:rFonts w:cs="Calibri"/>
        </w:rPr>
        <w:lastRenderedPageBreak/>
        <w:t>by digital tools and remote work. Digital inaccessibility can be remedied through addressing infrastructure gaps and enforcing accessible design standards.</w:t>
      </w:r>
    </w:p>
    <w:p w14:paraId="29DDE66C" w14:textId="77777777" w:rsidR="00150C65" w:rsidRDefault="00150C65" w:rsidP="00150C65">
      <w:pPr>
        <w:pStyle w:val="Heading3"/>
      </w:pPr>
      <w:r>
        <w:t>Illustrative Case: Elijah and the Intersections of Digital Exclusion</w:t>
      </w:r>
    </w:p>
    <w:p w14:paraId="0C870D48" w14:textId="73AFC772" w:rsidR="00150C65" w:rsidRDefault="00150C65" w:rsidP="00150C65">
      <w:r>
        <w:t>Elijah, a 28-year-old First Nations man with mobility, hearing, and vision disabilities, lives on a reservation in northern Manitoba. Motivated to find remote administrative work, he searched internet job boards, created a digital resume, and tried to submit applications online. However, he quickly encountered a series of barriers that made his job search nearly impossible.</w:t>
      </w:r>
    </w:p>
    <w:p w14:paraId="2CACD8B9" w14:textId="68E048F8" w:rsidR="00150C65" w:rsidRDefault="00150C65" w:rsidP="00150C65">
      <w:r>
        <w:t>Unreliable rural Internet made it difficult to consistently access job platforms and employer websites. Many online application systems required mouse navigation or included timed assessments, which were incompatible with Elijah’s assistive technologies and posed challenges for data input. Some job portals lacked screen reader compatibility or did not offer captioning, making them inaccessible to users with vision or hearing disabilities. Even basic tasks, like uploading a resume or completing an online form, became frustrating, and at times, impossible. Despite his digital readiness and determination, these barriers ultimately forced Elijah to abandon his job search.</w:t>
      </w:r>
    </w:p>
    <w:p w14:paraId="061EF705" w14:textId="7E0303ED" w:rsidR="00150C65" w:rsidRPr="003752CB" w:rsidRDefault="00150C65" w:rsidP="00150C65">
      <w:r>
        <w:t>Elijah’s story illustrates the compounding challenges that many persons with disabilities face, not only in terms of physical access, but in digital infrastructure, usability, and inaccessible design practices. His experience underscores how intersectional factors like Indigeneity, disability, and rural location can compound digital exclusion and systematically limit access to employment opportunities.</w:t>
      </w:r>
    </w:p>
    <w:p w14:paraId="18373CBA" w14:textId="77777777" w:rsidR="00A3082A" w:rsidRPr="003752CB" w:rsidRDefault="00A3082A" w:rsidP="00A3082A">
      <w:pPr>
        <w:pStyle w:val="Heading1"/>
      </w:pPr>
      <w:r w:rsidRPr="003752CB">
        <w:t>The Digital Disability Divide</w:t>
      </w:r>
    </w:p>
    <w:p w14:paraId="7A8A69B8" w14:textId="724837C8" w:rsidR="00816C65" w:rsidRPr="003752CB" w:rsidRDefault="003B6564" w:rsidP="003B6564">
      <w:pPr>
        <w:rPr>
          <w:lang w:val="en-US"/>
        </w:rPr>
      </w:pPr>
      <w:r w:rsidRPr="003752CB">
        <w:rPr>
          <w:lang w:val="en-US"/>
        </w:rPr>
        <w:t xml:space="preserve">For many Canadians with disabilities, the promise of a digital economy remains out of reach. </w:t>
      </w:r>
      <w:r w:rsidR="006432A8" w:rsidRPr="003752CB">
        <w:rPr>
          <w:lang w:val="en-US"/>
        </w:rPr>
        <w:t>When basic</w:t>
      </w:r>
      <w:r w:rsidRPr="003752CB">
        <w:rPr>
          <w:lang w:val="en-US"/>
        </w:rPr>
        <w:t xml:space="preserve"> elements </w:t>
      </w:r>
      <w:r w:rsidR="006432A8" w:rsidRPr="003752CB">
        <w:rPr>
          <w:lang w:val="en-US"/>
        </w:rPr>
        <w:t xml:space="preserve">like reliable internet </w:t>
      </w:r>
      <w:r w:rsidRPr="003752CB">
        <w:rPr>
          <w:lang w:val="en-US"/>
        </w:rPr>
        <w:t>are missing, or when websites and applications fail to meet accessibility standards, the result is exclusion from opportunities that others take for granted.</w:t>
      </w:r>
      <w:r w:rsidR="0018640C" w:rsidRPr="003752CB">
        <w:rPr>
          <w:lang w:val="en-US"/>
        </w:rPr>
        <w:t xml:space="preserve"> </w:t>
      </w:r>
      <w:r w:rsidRPr="003752CB">
        <w:rPr>
          <w:lang w:val="en-US"/>
        </w:rPr>
        <w:t xml:space="preserve">This gap, often called the </w:t>
      </w:r>
      <w:r w:rsidRPr="003752CB">
        <w:rPr>
          <w:b/>
          <w:bCs/>
          <w:lang w:val="en-US"/>
        </w:rPr>
        <w:t>digital disability divide,</w:t>
      </w:r>
      <w:r w:rsidRPr="003752CB">
        <w:rPr>
          <w:lang w:val="en-US"/>
        </w:rPr>
        <w:t xml:space="preserve"> reflects </w:t>
      </w:r>
      <w:r w:rsidR="006432A8" w:rsidRPr="003752CB">
        <w:rPr>
          <w:lang w:val="en-US"/>
        </w:rPr>
        <w:t>infrastructure inequities,</w:t>
      </w:r>
      <w:r w:rsidRPr="003752CB">
        <w:rPr>
          <w:lang w:val="en-US"/>
        </w:rPr>
        <w:t xml:space="preserve"> affordability barriers</w:t>
      </w:r>
      <w:r w:rsidR="006432A8" w:rsidRPr="003752CB">
        <w:rPr>
          <w:lang w:val="en-US"/>
        </w:rPr>
        <w:t>,</w:t>
      </w:r>
      <w:r w:rsidR="00870F66" w:rsidRPr="003752CB">
        <w:rPr>
          <w:lang w:val="en-US"/>
        </w:rPr>
        <w:t xml:space="preserve"> and </w:t>
      </w:r>
      <w:r w:rsidRPr="003752CB">
        <w:rPr>
          <w:lang w:val="en-US"/>
        </w:rPr>
        <w:t>inaccessible design</w:t>
      </w:r>
      <w:r w:rsidR="00EB7221" w:rsidRPr="003752CB">
        <w:rPr>
          <w:rStyle w:val="EndnoteReference"/>
        </w:rPr>
        <w:endnoteReference w:id="33"/>
      </w:r>
      <w:r w:rsidR="00EB7221" w:rsidRPr="003752CB">
        <w:rPr>
          <w:lang w:val="en-US"/>
        </w:rPr>
        <w:t>,</w:t>
      </w:r>
      <w:r w:rsidR="0059309C" w:rsidRPr="003752CB">
        <w:rPr>
          <w:rStyle w:val="EndnoteReference"/>
          <w:lang w:val="en-US"/>
        </w:rPr>
        <w:endnoteReference w:id="34"/>
      </w:r>
      <w:r w:rsidRPr="003752CB">
        <w:rPr>
          <w:lang w:val="en-US"/>
        </w:rPr>
        <w:t>.</w:t>
      </w:r>
    </w:p>
    <w:p w14:paraId="4C0AC305" w14:textId="77777777" w:rsidR="003A7C74" w:rsidRDefault="00451422" w:rsidP="000A643A">
      <w:pPr>
        <w:rPr>
          <w:lang w:val="en-US"/>
        </w:rPr>
      </w:pPr>
      <w:r w:rsidRPr="003752CB">
        <w:rPr>
          <w:lang w:val="en-US"/>
        </w:rPr>
        <w:t>The</w:t>
      </w:r>
      <w:r w:rsidR="003B6564" w:rsidRPr="003752CB">
        <w:rPr>
          <w:lang w:val="en-US"/>
        </w:rPr>
        <w:t xml:space="preserve"> </w:t>
      </w:r>
      <w:r w:rsidR="008941A6" w:rsidRPr="003752CB">
        <w:rPr>
          <w:lang w:val="en-US"/>
        </w:rPr>
        <w:t xml:space="preserve">digital disability </w:t>
      </w:r>
      <w:r w:rsidR="003B6564" w:rsidRPr="003752CB">
        <w:rPr>
          <w:lang w:val="en-US"/>
        </w:rPr>
        <w:t xml:space="preserve">divide </w:t>
      </w:r>
      <w:r w:rsidRPr="003752CB">
        <w:rPr>
          <w:lang w:val="en-US"/>
        </w:rPr>
        <w:t xml:space="preserve">also </w:t>
      </w:r>
      <w:r w:rsidR="003B6564" w:rsidRPr="003752CB">
        <w:rPr>
          <w:lang w:val="en-US"/>
        </w:rPr>
        <w:t>extends to skill</w:t>
      </w:r>
      <w:r w:rsidR="00FF528C" w:rsidRPr="003752CB">
        <w:rPr>
          <w:lang w:val="en-US"/>
        </w:rPr>
        <w:t>s</w:t>
      </w:r>
      <w:r w:rsidR="00090E7E" w:rsidRPr="003752CB">
        <w:rPr>
          <w:lang w:val="en-US"/>
        </w:rPr>
        <w:t xml:space="preserve">. </w:t>
      </w:r>
    </w:p>
    <w:p w14:paraId="1A306C6F" w14:textId="7E037CD2" w:rsidR="003A7C74" w:rsidRDefault="000A643A" w:rsidP="000A643A">
      <w:r w:rsidRPr="003752CB">
        <w:t>Over 445,000 Canadians with disabilities</w:t>
      </w:r>
      <w:r w:rsidR="00090E7E" w:rsidRPr="003752CB">
        <w:t xml:space="preserve"> report that limited digital skills a</w:t>
      </w:r>
      <w:r w:rsidR="002A10DA" w:rsidRPr="003752CB">
        <w:t>re</w:t>
      </w:r>
      <w:r w:rsidR="00090E7E" w:rsidRPr="003752CB">
        <w:t xml:space="preserve"> a barrier to Internet use</w:t>
      </w:r>
      <w:r w:rsidR="00DA6199">
        <w:rPr>
          <w:rStyle w:val="EndnoteReference"/>
        </w:rPr>
        <w:t>2</w:t>
      </w:r>
      <w:r w:rsidR="002E2151" w:rsidRPr="003752CB">
        <w:rPr>
          <w:rStyle w:val="EndnoteReference"/>
        </w:rPr>
        <w:t>2</w:t>
      </w:r>
      <w:r w:rsidRPr="003752CB">
        <w:t>.</w:t>
      </w:r>
      <w:r w:rsidR="00EB45BA" w:rsidRPr="003752CB">
        <w:t xml:space="preserve"> </w:t>
      </w:r>
    </w:p>
    <w:p w14:paraId="208F3DB2" w14:textId="53E88483" w:rsidR="008941A6" w:rsidRPr="003752CB" w:rsidRDefault="00EB45BA" w:rsidP="000A643A">
      <w:r w:rsidRPr="003752CB">
        <w:t xml:space="preserve">Addressing these gaps requires targeted </w:t>
      </w:r>
      <w:r w:rsidR="002A10DA" w:rsidRPr="003752CB">
        <w:t>digital skill development initiatives.</w:t>
      </w:r>
    </w:p>
    <w:p w14:paraId="0BB68F52" w14:textId="14202DF4" w:rsidR="00971E71" w:rsidRPr="003752CB" w:rsidRDefault="00990799" w:rsidP="0042313B">
      <w:pPr>
        <w:pStyle w:val="Heading1"/>
      </w:pPr>
      <w:r w:rsidRPr="003752CB">
        <w:lastRenderedPageBreak/>
        <w:t>Digital Skill</w:t>
      </w:r>
      <w:r w:rsidR="00F013B1" w:rsidRPr="003752CB">
        <w:t>s</w:t>
      </w:r>
      <w:r w:rsidRPr="003752CB">
        <w:t xml:space="preserve"> Development</w:t>
      </w:r>
    </w:p>
    <w:p w14:paraId="750A0E26" w14:textId="2EB1D0F7" w:rsidR="00A979BF" w:rsidRPr="003752CB" w:rsidRDefault="002F3D8B" w:rsidP="00544075">
      <w:r w:rsidRPr="003752CB">
        <w:t>Digital skills are now a prerequisite for meaningful participation in the labo</w:t>
      </w:r>
      <w:r w:rsidR="000C695F" w:rsidRPr="003752CB">
        <w:t>u</w:t>
      </w:r>
      <w:r w:rsidRPr="003752CB">
        <w:t>r market</w:t>
      </w:r>
      <w:r w:rsidR="000C695F" w:rsidRPr="003752CB">
        <w:t>. W</w:t>
      </w:r>
      <w:r w:rsidRPr="003752CB">
        <w:t xml:space="preserve">ithout them, </w:t>
      </w:r>
      <w:proofErr w:type="gramStart"/>
      <w:r w:rsidRPr="003752CB">
        <w:t>individuals</w:t>
      </w:r>
      <w:proofErr w:type="gramEnd"/>
      <w:r w:rsidRPr="003752CB">
        <w:t xml:space="preserve"> risk being excluded from job opportunities, professional development, and the growing number of roles that rely on technology for everyday tasks.</w:t>
      </w:r>
      <w:r w:rsidR="00E93A1C" w:rsidRPr="003752CB">
        <w:t xml:space="preserve"> When people think of digital skills, coding and engineering often come to mind</w:t>
      </w:r>
      <w:r w:rsidR="00DA6430" w:rsidRPr="003752CB">
        <w:t>, but they are not limited to these domains.</w:t>
      </w:r>
      <w:r w:rsidRPr="003752CB">
        <w:t xml:space="preserve"> </w:t>
      </w:r>
      <w:r w:rsidR="00DA6430" w:rsidRPr="003752CB">
        <w:t xml:space="preserve">Digital skills </w:t>
      </w:r>
      <w:r w:rsidR="00583F4D" w:rsidRPr="003752CB">
        <w:t>include any use of digital tools to</w:t>
      </w:r>
      <w:r w:rsidR="00F97873" w:rsidRPr="003752CB">
        <w:t xml:space="preserve"> “perform tasks, solve problems, communicate, manage information, collaborate, as well as to create and share content effectively, appropriately, securely, critically, creatively, independently and ethically”</w:t>
      </w:r>
      <w:r w:rsidR="00C54FDB" w:rsidRPr="003752CB">
        <w:rPr>
          <w:rStyle w:val="EndnoteReference"/>
        </w:rPr>
        <w:endnoteReference w:id="35"/>
      </w:r>
      <w:r w:rsidR="00F97873" w:rsidRPr="003752CB">
        <w:t>.</w:t>
      </w:r>
    </w:p>
    <w:p w14:paraId="251DEEF0" w14:textId="77777777" w:rsidR="00150C65" w:rsidRDefault="005E3E4D" w:rsidP="00AB333C">
      <w:pPr>
        <w:rPr>
          <w:rFonts w:eastAsia="Aptos" w:cs="Aptos"/>
        </w:rPr>
      </w:pPr>
      <w:r w:rsidRPr="003752CB">
        <w:rPr>
          <w:rFonts w:eastAsia="Aptos" w:cs="Aptos"/>
        </w:rPr>
        <w:t>The Government of Canada’s </w:t>
      </w:r>
      <w:r w:rsidRPr="003752CB">
        <w:rPr>
          <w:rFonts w:eastAsia="Aptos" w:cs="Aptos"/>
          <w:b/>
        </w:rPr>
        <w:t>Skills for Success</w:t>
      </w:r>
      <w:r w:rsidRPr="003752CB">
        <w:rPr>
          <w:rFonts w:eastAsia="Aptos" w:cs="Aptos"/>
        </w:rPr>
        <w:t> framework</w:t>
      </w:r>
      <w:r w:rsidR="00DE316B" w:rsidRPr="003752CB">
        <w:rPr>
          <w:rFonts w:eastAsia="Aptos" w:cs="Aptos"/>
        </w:rPr>
        <w:t xml:space="preserve"> emphasizes</w:t>
      </w:r>
      <w:r w:rsidRPr="003752CB">
        <w:rPr>
          <w:rFonts w:eastAsia="Aptos" w:cs="Aptos"/>
        </w:rPr>
        <w:t xml:space="preserve"> that </w:t>
      </w:r>
      <w:r w:rsidR="0064725B" w:rsidRPr="003752CB">
        <w:rPr>
          <w:rFonts w:eastAsia="Aptos" w:cs="Aptos"/>
        </w:rPr>
        <w:t xml:space="preserve">digital </w:t>
      </w:r>
      <w:r w:rsidR="00DE316B" w:rsidRPr="003752CB">
        <w:rPr>
          <w:rFonts w:eastAsia="Aptos" w:cs="Aptos"/>
        </w:rPr>
        <w:t xml:space="preserve">skills are </w:t>
      </w:r>
      <w:r w:rsidR="00F01960" w:rsidRPr="003752CB">
        <w:rPr>
          <w:rFonts w:eastAsia="Aptos" w:cs="Aptos"/>
        </w:rPr>
        <w:t>essential, and</w:t>
      </w:r>
      <w:r w:rsidR="00DE316B" w:rsidRPr="003752CB">
        <w:rPr>
          <w:rFonts w:eastAsia="Aptos" w:cs="Aptos"/>
        </w:rPr>
        <w:t xml:space="preserve"> closely linked to other core competencies</w:t>
      </w:r>
      <w:r w:rsidR="003B085A" w:rsidRPr="003752CB">
        <w:rPr>
          <w:rFonts w:eastAsia="Aptos" w:cs="Aptos"/>
        </w:rPr>
        <w:t>. Digital skills are one of several</w:t>
      </w:r>
      <w:r w:rsidR="00661E20" w:rsidRPr="003752CB">
        <w:rPr>
          <w:rFonts w:eastAsia="Aptos" w:cs="Aptos"/>
        </w:rPr>
        <w:t xml:space="preserve"> foundational</w:t>
      </w:r>
      <w:r w:rsidR="003B085A" w:rsidRPr="003752CB">
        <w:rPr>
          <w:rFonts w:eastAsia="Aptos" w:cs="Aptos"/>
        </w:rPr>
        <w:t xml:space="preserve"> domains</w:t>
      </w:r>
      <w:r w:rsidRPr="003752CB">
        <w:rPr>
          <w:rFonts w:eastAsia="Aptos" w:cs="Aptos"/>
        </w:rPr>
        <w:t xml:space="preserve"> needed for lifelong learning and employment</w:t>
      </w:r>
      <w:r w:rsidR="00661E20" w:rsidRPr="003752CB">
        <w:rPr>
          <w:rFonts w:eastAsia="Aptos" w:cs="Aptos"/>
        </w:rPr>
        <w:t>,</w:t>
      </w:r>
      <w:r w:rsidR="00247D3E" w:rsidRPr="003752CB">
        <w:rPr>
          <w:rFonts w:eastAsia="Aptos" w:cs="Aptos"/>
        </w:rPr>
        <w:t xml:space="preserve"> alongside</w:t>
      </w:r>
      <w:r w:rsidR="00D17BCC" w:rsidRPr="003752CB">
        <w:rPr>
          <w:rFonts w:eastAsia="Aptos" w:cs="Aptos"/>
        </w:rPr>
        <w:t xml:space="preserve"> traditional, ‘technical’</w:t>
      </w:r>
      <w:r w:rsidR="00567386" w:rsidRPr="003752CB">
        <w:rPr>
          <w:rFonts w:eastAsia="Aptos" w:cs="Aptos"/>
        </w:rPr>
        <w:t xml:space="preserve"> skills (e.g., </w:t>
      </w:r>
      <w:r w:rsidR="00247D3E" w:rsidRPr="003752CB">
        <w:rPr>
          <w:rFonts w:eastAsia="Aptos" w:cs="Aptos"/>
        </w:rPr>
        <w:t xml:space="preserve">reading, writing, </w:t>
      </w:r>
      <w:r w:rsidR="00567386" w:rsidRPr="003752CB">
        <w:rPr>
          <w:rFonts w:eastAsia="Aptos" w:cs="Aptos"/>
        </w:rPr>
        <w:t xml:space="preserve">and </w:t>
      </w:r>
      <w:r w:rsidR="00247D3E" w:rsidRPr="003752CB">
        <w:rPr>
          <w:rFonts w:eastAsia="Aptos" w:cs="Aptos"/>
        </w:rPr>
        <w:t>numeracy</w:t>
      </w:r>
      <w:r w:rsidR="00567386" w:rsidRPr="003752CB">
        <w:rPr>
          <w:rFonts w:eastAsia="Aptos" w:cs="Aptos"/>
        </w:rPr>
        <w:t>) a</w:t>
      </w:r>
      <w:r w:rsidR="00FB0481" w:rsidRPr="003752CB">
        <w:rPr>
          <w:rFonts w:eastAsia="Aptos" w:cs="Aptos"/>
        </w:rPr>
        <w:t>nd</w:t>
      </w:r>
      <w:r w:rsidR="00567386" w:rsidRPr="003752CB">
        <w:rPr>
          <w:rFonts w:eastAsia="Aptos" w:cs="Aptos"/>
        </w:rPr>
        <w:t xml:space="preserve"> transferable skills (e.g., </w:t>
      </w:r>
      <w:r w:rsidR="00247D3E" w:rsidRPr="003752CB">
        <w:rPr>
          <w:rFonts w:eastAsia="Aptos" w:cs="Aptos"/>
        </w:rPr>
        <w:t>adaptability, collaboration, communication, problem-solving, and creativity and innovation</w:t>
      </w:r>
      <w:r w:rsidR="00567386" w:rsidRPr="003752CB">
        <w:rPr>
          <w:rFonts w:eastAsia="Aptos" w:cs="Aptos"/>
        </w:rPr>
        <w:t>)</w:t>
      </w:r>
      <w:r w:rsidR="00A441B6" w:rsidRPr="003752CB">
        <w:rPr>
          <w:rStyle w:val="EndnoteReference"/>
          <w:rFonts w:eastAsia="Aptos" w:cs="Aptos"/>
        </w:rPr>
        <w:endnoteReference w:id="36"/>
      </w:r>
      <w:r w:rsidRPr="003752CB">
        <w:rPr>
          <w:rFonts w:eastAsia="Aptos" w:cs="Aptos"/>
        </w:rPr>
        <w:t>.</w:t>
      </w:r>
      <w:r w:rsidR="00617BB3" w:rsidRPr="003752CB">
        <w:rPr>
          <w:rFonts w:eastAsia="Aptos" w:cs="Aptos"/>
        </w:rPr>
        <w:t xml:space="preserve"> </w:t>
      </w:r>
      <w:r w:rsidR="002A4191" w:rsidRPr="003752CB">
        <w:rPr>
          <w:rFonts w:eastAsia="Aptos" w:cs="Aptos"/>
        </w:rPr>
        <w:t>Digital</w:t>
      </w:r>
      <w:r w:rsidR="00617BB3" w:rsidRPr="003752CB">
        <w:rPr>
          <w:rFonts w:eastAsia="Aptos" w:cs="Aptos"/>
        </w:rPr>
        <w:t xml:space="preserve"> skills form the basis for understanding and engaging with digital content, evaluating information, and communicating effectively in digital spaces</w:t>
      </w:r>
      <w:r w:rsidR="00E263CE" w:rsidRPr="003752CB">
        <w:rPr>
          <w:rFonts w:eastAsia="Aptos" w:cs="Aptos"/>
        </w:rPr>
        <w:t>. S</w:t>
      </w:r>
      <w:r w:rsidR="005316D7" w:rsidRPr="003752CB">
        <w:rPr>
          <w:rFonts w:eastAsia="Aptos" w:cs="Aptos"/>
        </w:rPr>
        <w:t xml:space="preserve">trong </w:t>
      </w:r>
      <w:r w:rsidR="00EC46F6" w:rsidRPr="003752CB">
        <w:rPr>
          <w:rFonts w:eastAsia="Aptos" w:cs="Aptos"/>
        </w:rPr>
        <w:t xml:space="preserve">digital skills </w:t>
      </w:r>
      <w:r w:rsidR="00D17BCC" w:rsidRPr="003752CB">
        <w:rPr>
          <w:rFonts w:eastAsia="Aptos" w:cs="Aptos"/>
        </w:rPr>
        <w:t>also depend on st</w:t>
      </w:r>
      <w:r w:rsidR="005316D7" w:rsidRPr="003752CB">
        <w:rPr>
          <w:rFonts w:eastAsia="Aptos" w:cs="Aptos"/>
        </w:rPr>
        <w:t>rong abilities in the other essential skill areas.</w:t>
      </w:r>
    </w:p>
    <w:tbl>
      <w:tblPr>
        <w:tblStyle w:val="TableGrid"/>
        <w:tblW w:w="0" w:type="auto"/>
        <w:tblLook w:val="04A0" w:firstRow="1" w:lastRow="0" w:firstColumn="1" w:lastColumn="0" w:noHBand="0" w:noVBand="1"/>
      </w:tblPr>
      <w:tblGrid>
        <w:gridCol w:w="9350"/>
      </w:tblGrid>
      <w:tr w:rsidR="00150C65" w:rsidRPr="00150C65" w14:paraId="4D41F71D" w14:textId="77777777" w:rsidTr="00023427">
        <w:tc>
          <w:tcPr>
            <w:tcW w:w="9350" w:type="dxa"/>
          </w:tcPr>
          <w:p w14:paraId="2CB595D6" w14:textId="77777777" w:rsidR="00150C65" w:rsidRPr="00150C65" w:rsidRDefault="00150C65" w:rsidP="00150C65">
            <w:pPr>
              <w:pStyle w:val="Heading3"/>
              <w:rPr>
                <w:rFonts w:eastAsia="Aptos"/>
              </w:rPr>
            </w:pPr>
            <w:r w:rsidRPr="00150C65">
              <w:rPr>
                <w:rFonts w:eastAsia="Aptos"/>
              </w:rPr>
              <w:t>Skills for Success</w:t>
            </w:r>
          </w:p>
        </w:tc>
      </w:tr>
      <w:tr w:rsidR="00150C65" w:rsidRPr="00150C65" w14:paraId="0A5D48DF" w14:textId="77777777" w:rsidTr="00023427">
        <w:tc>
          <w:tcPr>
            <w:tcW w:w="9350" w:type="dxa"/>
          </w:tcPr>
          <w:p w14:paraId="20E574EE" w14:textId="77E74C90" w:rsidR="00150C65" w:rsidRPr="00150C65" w:rsidRDefault="00150C65" w:rsidP="00150C65">
            <w:pPr>
              <w:spacing w:after="160" w:line="279" w:lineRule="auto"/>
              <w:rPr>
                <w:rFonts w:eastAsia="Aptos" w:cs="Aptos"/>
              </w:rPr>
            </w:pPr>
            <w:r w:rsidRPr="00150C65">
              <w:rPr>
                <w:rFonts w:eastAsia="Aptos" w:cs="Aptos"/>
              </w:rPr>
              <w:t>Technical skills are competencies such as reading and writing that are important for the workplace.</w:t>
            </w:r>
          </w:p>
          <w:p w14:paraId="1DC393EC"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Digital</w:t>
            </w:r>
            <w:r w:rsidRPr="00150C65">
              <w:rPr>
                <w:rFonts w:eastAsia="Aptos" w:cs="Aptos"/>
              </w:rPr>
              <w:t>: Using digital tools to find, use, create, and communicate information (e.g., emailing, using the Internet safely, communicating on social media, making a spreadsheet, applying for jobs online)</w:t>
            </w:r>
          </w:p>
          <w:p w14:paraId="730E86D1"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Numeracy:</w:t>
            </w:r>
            <w:r w:rsidRPr="00150C65">
              <w:rPr>
                <w:rFonts w:eastAsia="Aptos" w:cs="Aptos"/>
              </w:rPr>
              <w:t xml:space="preserve"> Finding, understanding, using, and reporting mathematical information presented through words, numbers, symbols, and graphics (e.g., performing calculations, managing budgets, analyzing, and modelling data and making estimations)</w:t>
            </w:r>
          </w:p>
          <w:p w14:paraId="0F570813"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Reading:</w:t>
            </w:r>
            <w:r w:rsidRPr="00150C65">
              <w:rPr>
                <w:rFonts w:eastAsia="Aptos" w:cs="Aptos"/>
              </w:rPr>
              <w:t xml:space="preserve"> Finding, understanding, and using information presented through words, symbols, and images (e.g., locating information on forms and drawings; reading items such as emails, reports, news articles, blog posts, and instructions)</w:t>
            </w:r>
          </w:p>
          <w:p w14:paraId="0305BC12" w14:textId="60D67803" w:rsidR="00150C65" w:rsidRPr="00150C65" w:rsidRDefault="00150C65" w:rsidP="00150C65">
            <w:pPr>
              <w:numPr>
                <w:ilvl w:val="0"/>
                <w:numId w:val="4"/>
              </w:numPr>
              <w:spacing w:after="160" w:line="279" w:lineRule="auto"/>
              <w:rPr>
                <w:rFonts w:eastAsia="Aptos" w:cs="Aptos"/>
              </w:rPr>
            </w:pPr>
            <w:r w:rsidRPr="00150C65">
              <w:rPr>
                <w:rFonts w:eastAsia="Aptos" w:cs="Aptos"/>
                <w:b/>
                <w:bCs/>
              </w:rPr>
              <w:lastRenderedPageBreak/>
              <w:t>Writing:</w:t>
            </w:r>
            <w:r w:rsidRPr="00150C65">
              <w:rPr>
                <w:rFonts w:eastAsia="Aptos" w:cs="Aptos"/>
              </w:rPr>
              <w:t xml:space="preserve"> Sharing information using written words, symbols, and images (e.g., filling out forms, applications, writing emails, reports, and social media posts)</w:t>
            </w:r>
          </w:p>
          <w:p w14:paraId="15EE2DF6" w14:textId="6D80DE61" w:rsidR="00150C65" w:rsidRPr="00150C65" w:rsidRDefault="00150C65" w:rsidP="00150C65">
            <w:pPr>
              <w:spacing w:after="160" w:line="279" w:lineRule="auto"/>
              <w:rPr>
                <w:rFonts w:eastAsia="Aptos" w:cs="Aptos"/>
              </w:rPr>
            </w:pPr>
            <w:r w:rsidRPr="00150C65">
              <w:rPr>
                <w:rFonts w:eastAsia="Aptos" w:cs="Aptos"/>
              </w:rPr>
              <w:t xml:space="preserve">Transferable skills are competencies such as communication and problem solving which are important in the workplace. </w:t>
            </w:r>
          </w:p>
          <w:p w14:paraId="6D65F202"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Adaptability:</w:t>
            </w:r>
            <w:r w:rsidRPr="00150C65">
              <w:rPr>
                <w:rFonts w:eastAsia="Aptos" w:cs="Aptos"/>
              </w:rPr>
              <w:t xml:space="preserve"> Achieving or adjusting goals and behaviours in the face of expected or unexpected change (e.g., change work plans to meet deadlines; listening to feedback to improve knowledge and skills)  </w:t>
            </w:r>
          </w:p>
          <w:p w14:paraId="7B02270A"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Collaboration:</w:t>
            </w:r>
            <w:r w:rsidRPr="00150C65">
              <w:rPr>
                <w:rFonts w:eastAsia="Aptos" w:cs="Aptos"/>
              </w:rPr>
              <w:t xml:space="preserve"> Contributing and supporting others to achieve common goals (e.g., helping team members; brainstorming ideas together) </w:t>
            </w:r>
          </w:p>
          <w:p w14:paraId="1CA0B5A1"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Communication:</w:t>
            </w:r>
            <w:r w:rsidRPr="00150C65">
              <w:rPr>
                <w:rFonts w:eastAsia="Aptos" w:cs="Aptos"/>
              </w:rPr>
              <w:t xml:space="preserve"> Receiving, understanding, considering, and sharing information through speaking, listening, and interacting with others (e.g., listening to instructions; serving customers; resolving conflict) </w:t>
            </w:r>
          </w:p>
          <w:p w14:paraId="5C6492DD"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Creativity and innovation:</w:t>
            </w:r>
            <w:r w:rsidRPr="00150C65">
              <w:rPr>
                <w:rFonts w:eastAsia="Aptos" w:cs="Aptos"/>
              </w:rPr>
              <w:t xml:space="preserve"> Imagining, developing, expressing, encouraging, and applying ideas in novel and unexpected ways or methods which challenge existing norms (e.g., discovering better ways of doing things; developing new products; delivering services in unique ways) </w:t>
            </w:r>
          </w:p>
          <w:p w14:paraId="19631D07" w14:textId="77777777" w:rsidR="00150C65" w:rsidRPr="00150C65" w:rsidRDefault="00150C65" w:rsidP="00150C65">
            <w:pPr>
              <w:numPr>
                <w:ilvl w:val="0"/>
                <w:numId w:val="4"/>
              </w:numPr>
              <w:spacing w:after="160" w:line="279" w:lineRule="auto"/>
              <w:rPr>
                <w:rFonts w:eastAsia="Aptos" w:cs="Aptos"/>
              </w:rPr>
            </w:pPr>
            <w:r w:rsidRPr="00150C65">
              <w:rPr>
                <w:rFonts w:eastAsia="Aptos" w:cs="Aptos"/>
                <w:b/>
                <w:bCs/>
              </w:rPr>
              <w:t>Problem-solving:</w:t>
            </w:r>
            <w:r w:rsidRPr="00150C65">
              <w:rPr>
                <w:rFonts w:eastAsia="Aptos" w:cs="Aptos"/>
              </w:rPr>
              <w:t xml:space="preserve"> Identifying, analyzing, proposing solutions, and making decisions to address issues, monitor success, and learn from the experience (e.g., making hiring decisions; selecting courses of action; resolving technical failures)  </w:t>
            </w:r>
          </w:p>
        </w:tc>
      </w:tr>
    </w:tbl>
    <w:p w14:paraId="21C8C0AE" w14:textId="00425075" w:rsidR="00CD10CC" w:rsidRPr="00150C65" w:rsidRDefault="00CD10CC" w:rsidP="00AB333C">
      <w:pPr>
        <w:rPr>
          <w:rFonts w:eastAsia="Aptos" w:cs="Aptos"/>
        </w:rPr>
      </w:pPr>
    </w:p>
    <w:p w14:paraId="2884511B" w14:textId="77777777" w:rsidR="00401FC8" w:rsidRPr="003752CB" w:rsidRDefault="00401FC8" w:rsidP="00401FC8">
      <w:pPr>
        <w:pStyle w:val="Heading2"/>
      </w:pPr>
      <w:r w:rsidRPr="003752CB">
        <w:t>Barriers to Digital Skills Development</w:t>
      </w:r>
    </w:p>
    <w:p w14:paraId="77282F21" w14:textId="5EA51C45" w:rsidR="00401FC8" w:rsidRPr="003752CB" w:rsidRDefault="00401FC8" w:rsidP="00401FC8">
      <w:r w:rsidRPr="003752CB">
        <w:t>The digital transformation of the workforce has heightened the demand for both technical and interpersonal skills. Proficiency in areas like AI, digital communication, and workplace technologies are now essential across many roles. At the same time, soft skills such as communication, empathy, and collaboration are also critical, especially in positions that require adaptability and human-centered interaction</w:t>
      </w:r>
      <w:r w:rsidR="00A441B6" w:rsidRPr="003752CB">
        <w:rPr>
          <w:rStyle w:val="EndnoteReference"/>
        </w:rPr>
        <w:endnoteReference w:customMarkFollows="1" w:id="37"/>
        <w:t>19</w:t>
      </w:r>
      <w:r w:rsidRPr="003752CB">
        <w:t>. Some experts, like Murugan Anandarajan, Professor of Decision Sciences and Management Information Systems at Drexel University, have argued that the most important future skills will involve turning “machine output into useful human insight” – merging crucial soft skills with digital competency</w:t>
      </w:r>
      <w:r w:rsidR="006D0F47" w:rsidRPr="003752CB">
        <w:rPr>
          <w:rStyle w:val="EndnoteReference"/>
        </w:rPr>
        <w:endnoteReference w:id="38"/>
      </w:r>
      <w:r w:rsidRPr="003752CB">
        <w:t>.</w:t>
      </w:r>
    </w:p>
    <w:p w14:paraId="5BA4F947" w14:textId="6D80C0E8" w:rsidR="00401FC8" w:rsidRPr="003752CB" w:rsidRDefault="00401FC8" w:rsidP="00401FC8">
      <w:r w:rsidRPr="003752CB">
        <w:t xml:space="preserve">Inaccessible training platforms, limited access to inclusive education, and underrepresentation in skill-building initiatives contribute to a persistent skills gap for </w:t>
      </w:r>
      <w:r w:rsidRPr="003752CB">
        <w:lastRenderedPageBreak/>
        <w:t>people with disabilities, leaving them at a competitive disadvantage in the labour market</w:t>
      </w:r>
      <w:r w:rsidR="00D8311C" w:rsidRPr="003752CB">
        <w:rPr>
          <w:rStyle w:val="EndnoteReference"/>
        </w:rPr>
        <w:endnoteReference w:customMarkFollows="1" w:id="39"/>
        <w:t>19</w:t>
      </w:r>
      <w:r w:rsidRPr="003752CB">
        <w:t>.  A major driver of this divide is digital inaccessibility: when learning tools and technologies are not designed with accessibility in mind, job seekers with disabilities are excluded from opportunities to build the competencies that employers demand</w:t>
      </w:r>
      <w:r w:rsidR="00B86E23" w:rsidRPr="003752CB">
        <w:rPr>
          <w:rStyle w:val="EndnoteReference"/>
        </w:rPr>
        <w:endnoteReference w:customMarkFollows="1" w:id="40"/>
        <w:t>19</w:t>
      </w:r>
      <w:r w:rsidRPr="003752CB">
        <w:t>. For example, a job seeker who uses a screen reader may be unable to complete an online resume-building workshop if the platform is not compatible. Similarly, if virtual job training programs lack features like captioning or keyboard navigation, individuals with hearing or mobility disabilities may be unable to participate. Approximately 24% of Canadians (1.2 million out of 5 million) aged 15 years and over with at least one disability experienced barriers such as lack of options to adjust features (e.g., colour, text size, or font), poor design, unavailable or inaccurate text alternatives or closed captioning, when watching or listening to online content in 2024</w:t>
      </w:r>
      <w:r w:rsidR="00F87545" w:rsidRPr="003752CB">
        <w:rPr>
          <w:rStyle w:val="EndnoteReference"/>
        </w:rPr>
        <w:endnoteReference w:id="41"/>
      </w:r>
      <w:r w:rsidRPr="003752CB">
        <w:t>.</w:t>
      </w:r>
      <w:r w:rsidR="00244B24" w:rsidRPr="003752CB">
        <w:t xml:space="preserve"> </w:t>
      </w:r>
      <w:r w:rsidRPr="003752CB">
        <w:t>These barriers prevent job seekers from developing both technical and soft skills, reinforcing a cycle in which inaccessible systems limit skill development, which in turn impacts employment opportunities</w:t>
      </w:r>
      <w:r w:rsidR="00F87545" w:rsidRPr="003752CB">
        <w:rPr>
          <w:rStyle w:val="EndnoteReference"/>
        </w:rPr>
        <w:endnoteReference w:customMarkFollows="1" w:id="42"/>
        <w:t>19</w:t>
      </w:r>
      <w:r w:rsidRPr="003752CB">
        <w:t>.</w:t>
      </w:r>
    </w:p>
    <w:p w14:paraId="42CDFBEC" w14:textId="784A3FA3" w:rsidR="00401FC8" w:rsidRPr="003752CB" w:rsidRDefault="00401FC8" w:rsidP="00AB333C">
      <w:r w:rsidRPr="003752CB">
        <w:t>Without accessible and forward-looking training, people with disabilities risk being left behind in a labour market that is rapidly evolving through automation and AI integration. To ensure equitable access to employment, there is a growing need for targeted, accessible training programs that help job seekers with disabilities develop strong, well-rounded skillsets, including the soft skills that set people apart from machines</w:t>
      </w:r>
      <w:r w:rsidR="00F87545" w:rsidRPr="003752CB">
        <w:rPr>
          <w:rStyle w:val="EndnoteReference"/>
        </w:rPr>
        <w:endnoteReference w:customMarkFollows="1" w:id="43"/>
        <w:t>19</w:t>
      </w:r>
      <w:r w:rsidRPr="003752CB">
        <w:t>.</w:t>
      </w:r>
    </w:p>
    <w:p w14:paraId="0A4869D4" w14:textId="7F757C03" w:rsidR="00F702E7" w:rsidRPr="003752CB" w:rsidRDefault="00E4056E" w:rsidP="00AB333C">
      <w:r w:rsidRPr="003752CB">
        <w:t xml:space="preserve">Without universal access to digital technology, job seekers with disabilities face significant </w:t>
      </w:r>
      <w:r w:rsidR="00CC54AC" w:rsidRPr="003752CB">
        <w:t xml:space="preserve">barriers </w:t>
      </w:r>
      <w:r w:rsidRPr="003752CB">
        <w:t>not only in</w:t>
      </w:r>
      <w:r w:rsidR="00CC54AC" w:rsidRPr="003752CB">
        <w:t xml:space="preserve"> accessing </w:t>
      </w:r>
      <w:r w:rsidRPr="003752CB">
        <w:t>online platforms, but also in developing the essential skills required to compete in today’s job market.</w:t>
      </w:r>
      <w:r w:rsidR="009378FC" w:rsidRPr="003752CB">
        <w:t xml:space="preserve"> </w:t>
      </w:r>
      <w:r w:rsidR="0070799D" w:rsidRPr="003752CB">
        <w:t>In 202</w:t>
      </w:r>
      <w:r w:rsidR="006C3D3A" w:rsidRPr="003752CB">
        <w:t>4</w:t>
      </w:r>
      <w:r w:rsidR="0070799D" w:rsidRPr="003752CB">
        <w:t xml:space="preserve">, </w:t>
      </w:r>
      <w:r w:rsidR="00EA0620" w:rsidRPr="003752CB">
        <w:t xml:space="preserve">nearly </w:t>
      </w:r>
      <w:r w:rsidR="00D90DE2" w:rsidRPr="003752CB">
        <w:t>4</w:t>
      </w:r>
      <w:r w:rsidR="00ED0B87" w:rsidRPr="003752CB">
        <w:t>0</w:t>
      </w:r>
      <w:r w:rsidR="0070799D" w:rsidRPr="003752CB">
        <w:t>% of Canadians aged 15 and older with</w:t>
      </w:r>
      <w:r w:rsidR="00EA0620" w:rsidRPr="003752CB">
        <w:t xml:space="preserve"> at least one disability</w:t>
      </w:r>
      <w:r w:rsidR="0070799D" w:rsidRPr="003752CB">
        <w:t xml:space="preserve"> – </w:t>
      </w:r>
      <w:r w:rsidR="009B5507" w:rsidRPr="003752CB">
        <w:t>2</w:t>
      </w:r>
      <w:r w:rsidR="0070799D" w:rsidRPr="003752CB">
        <w:t>.4 million out of around 6 million</w:t>
      </w:r>
      <w:r w:rsidR="00ED0B87" w:rsidRPr="003752CB">
        <w:t xml:space="preserve"> – </w:t>
      </w:r>
      <w:r w:rsidR="00393DC1" w:rsidRPr="003752CB">
        <w:t>faced</w:t>
      </w:r>
      <w:r w:rsidR="00ED0B87" w:rsidRPr="003752CB">
        <w:t xml:space="preserve"> at least one barrier </w:t>
      </w:r>
      <w:r w:rsidR="00393DC1" w:rsidRPr="003752CB">
        <w:t xml:space="preserve">when </w:t>
      </w:r>
      <w:r w:rsidR="00ED0B87" w:rsidRPr="003752CB">
        <w:t>using technological devices</w:t>
      </w:r>
      <w:r w:rsidR="00997778" w:rsidRPr="003752CB">
        <w:rPr>
          <w:rStyle w:val="EndnoteReference"/>
        </w:rPr>
        <w:endnoteReference w:id="44"/>
      </w:r>
      <w:r w:rsidR="0070799D" w:rsidRPr="003752CB">
        <w:t xml:space="preserve">. </w:t>
      </w:r>
      <w:r w:rsidR="00393DC1" w:rsidRPr="003752CB">
        <w:t xml:space="preserve">These difficulties included </w:t>
      </w:r>
      <w:r w:rsidR="001F6E85" w:rsidRPr="003752CB">
        <w:t>using or accessing files or documents</w:t>
      </w:r>
      <w:r w:rsidR="009378FC" w:rsidRPr="003752CB">
        <w:t>,</w:t>
      </w:r>
      <w:r w:rsidR="001F6E85" w:rsidRPr="003752CB">
        <w:t xml:space="preserve"> searching the </w:t>
      </w:r>
      <w:r w:rsidR="00644242" w:rsidRPr="003752CB">
        <w:t>web and performing everyday online tasks</w:t>
      </w:r>
      <w:r w:rsidR="009378FC" w:rsidRPr="003752CB">
        <w:t xml:space="preserve">, and </w:t>
      </w:r>
      <w:r w:rsidR="00644242" w:rsidRPr="003752CB">
        <w:t>engaging in communication-related online activities</w:t>
      </w:r>
      <w:r w:rsidR="006153FF" w:rsidRPr="003752CB">
        <w:rPr>
          <w:rStyle w:val="EndnoteReference"/>
        </w:rPr>
        <w:endnoteReference w:customMarkFollows="1" w:id="45"/>
        <w:t>37</w:t>
      </w:r>
      <w:r w:rsidR="0070799D" w:rsidRPr="003752CB">
        <w:t>.</w:t>
      </w:r>
    </w:p>
    <w:p w14:paraId="2A395222" w14:textId="7375277B" w:rsidR="0029632F" w:rsidRPr="003752CB" w:rsidRDefault="0029632F" w:rsidP="00EC2835">
      <w:pPr>
        <w:pStyle w:val="Heading1"/>
        <w:rPr>
          <w:rFonts w:eastAsia="Aptos"/>
        </w:rPr>
      </w:pPr>
      <w:r w:rsidRPr="003752CB">
        <w:rPr>
          <w:rFonts w:eastAsia="Aptos"/>
        </w:rPr>
        <w:t xml:space="preserve">Best Practices in </w:t>
      </w:r>
      <w:r w:rsidR="00301DDA" w:rsidRPr="003752CB">
        <w:rPr>
          <w:rFonts w:eastAsia="Aptos"/>
        </w:rPr>
        <w:t xml:space="preserve">Digital </w:t>
      </w:r>
      <w:r w:rsidR="0060672E" w:rsidRPr="003752CB">
        <w:rPr>
          <w:rFonts w:eastAsia="Aptos"/>
        </w:rPr>
        <w:t>Access and</w:t>
      </w:r>
      <w:r w:rsidR="00301DDA" w:rsidRPr="003752CB">
        <w:rPr>
          <w:rFonts w:eastAsia="Aptos"/>
        </w:rPr>
        <w:t xml:space="preserve"> Accessibility</w:t>
      </w:r>
    </w:p>
    <w:p w14:paraId="3C508C2E" w14:textId="77777777" w:rsidR="0029632F" w:rsidRPr="003752CB" w:rsidRDefault="0029632F" w:rsidP="00EC2835">
      <w:pPr>
        <w:pStyle w:val="Heading2"/>
        <w:rPr>
          <w:rFonts w:eastAsia="Aptos"/>
        </w:rPr>
      </w:pPr>
      <w:r w:rsidRPr="003752CB">
        <w:rPr>
          <w:rFonts w:eastAsia="Aptos"/>
        </w:rPr>
        <w:t>Addressing Infrastructure Gaps</w:t>
      </w:r>
    </w:p>
    <w:p w14:paraId="428DBD3B" w14:textId="5923897B" w:rsidR="00BB0047" w:rsidRPr="003752CB" w:rsidRDefault="0029632F" w:rsidP="00EC2835">
      <w:pPr>
        <w:rPr>
          <w:rFonts w:eastAsia="Aptos"/>
        </w:rPr>
      </w:pPr>
      <w:r w:rsidRPr="003752CB">
        <w:rPr>
          <w:rFonts w:eastAsia="Aptos"/>
        </w:rPr>
        <w:t>Digital infrastructure</w:t>
      </w:r>
      <w:r w:rsidR="00E77FA5" w:rsidRPr="003752CB">
        <w:rPr>
          <w:rFonts w:eastAsia="Aptos"/>
        </w:rPr>
        <w:t xml:space="preserve"> like</w:t>
      </w:r>
      <w:r w:rsidRPr="003752CB">
        <w:rPr>
          <w:rFonts w:eastAsia="Aptos"/>
        </w:rPr>
        <w:t xml:space="preserve"> reliable </w:t>
      </w:r>
      <w:r w:rsidR="001B25B6" w:rsidRPr="003752CB">
        <w:rPr>
          <w:rFonts w:eastAsia="Aptos"/>
        </w:rPr>
        <w:t>Internet</w:t>
      </w:r>
      <w:r w:rsidRPr="003752CB">
        <w:rPr>
          <w:rFonts w:eastAsia="Aptos"/>
        </w:rPr>
        <w:t xml:space="preserve"> access, personal devices such as smartphones and computers, and accessible software</w:t>
      </w:r>
      <w:r w:rsidR="00E77FA5" w:rsidRPr="003752CB">
        <w:rPr>
          <w:rFonts w:eastAsia="Aptos"/>
        </w:rPr>
        <w:t xml:space="preserve"> </w:t>
      </w:r>
      <w:r w:rsidR="00080423" w:rsidRPr="003752CB">
        <w:rPr>
          <w:rFonts w:eastAsia="Aptos"/>
        </w:rPr>
        <w:t>is foundational to digital participation</w:t>
      </w:r>
      <w:r w:rsidRPr="003752CB">
        <w:rPr>
          <w:rFonts w:eastAsia="Aptos"/>
        </w:rPr>
        <w:t xml:space="preserve">. </w:t>
      </w:r>
      <w:r w:rsidR="00080423" w:rsidRPr="003752CB">
        <w:rPr>
          <w:rFonts w:eastAsia="Aptos"/>
        </w:rPr>
        <w:t>Without consistent access to these tools, digital skills</w:t>
      </w:r>
      <w:r w:rsidR="00006EEB" w:rsidRPr="003752CB">
        <w:rPr>
          <w:rFonts w:eastAsia="Aptos"/>
        </w:rPr>
        <w:t xml:space="preserve"> such as the ability to use emails, video conferencing tools, and productivity software</w:t>
      </w:r>
      <w:r w:rsidR="00080423" w:rsidRPr="003752CB">
        <w:rPr>
          <w:rFonts w:eastAsia="Aptos"/>
        </w:rPr>
        <w:t xml:space="preserve"> cannot be meaningfully developed.</w:t>
      </w:r>
      <w:r w:rsidR="00461AEF" w:rsidRPr="003752CB">
        <w:rPr>
          <w:rFonts w:eastAsia="Aptos"/>
        </w:rPr>
        <w:t xml:space="preserve"> </w:t>
      </w:r>
      <w:r w:rsidR="005E3DC8" w:rsidRPr="003752CB">
        <w:rPr>
          <w:rFonts w:eastAsia="Aptos"/>
        </w:rPr>
        <w:t xml:space="preserve">Best practices include </w:t>
      </w:r>
      <w:r w:rsidRPr="003752CB">
        <w:rPr>
          <w:rFonts w:eastAsia="Aptos"/>
        </w:rPr>
        <w:t>designing digital public infrastructure</w:t>
      </w:r>
      <w:r w:rsidRPr="003752CB" w:rsidDel="00BA4050">
        <w:rPr>
          <w:rFonts w:eastAsia="Aptos"/>
        </w:rPr>
        <w:t xml:space="preserve"> </w:t>
      </w:r>
      <w:r w:rsidR="002C0FF5" w:rsidRPr="003752CB">
        <w:rPr>
          <w:rFonts w:eastAsia="Aptos"/>
        </w:rPr>
        <w:t>in consultation</w:t>
      </w:r>
      <w:r w:rsidR="008619E4" w:rsidRPr="003752CB">
        <w:rPr>
          <w:rFonts w:eastAsia="Aptos"/>
        </w:rPr>
        <w:t xml:space="preserve"> and partnership</w:t>
      </w:r>
      <w:r w:rsidRPr="003752CB">
        <w:rPr>
          <w:rFonts w:eastAsia="Aptos"/>
        </w:rPr>
        <w:t xml:space="preserve"> </w:t>
      </w:r>
      <w:r w:rsidRPr="003752CB">
        <w:rPr>
          <w:rFonts w:eastAsia="Aptos"/>
        </w:rPr>
        <w:lastRenderedPageBreak/>
        <w:t>wi</w:t>
      </w:r>
      <w:r w:rsidR="005E3DC8" w:rsidRPr="003752CB">
        <w:rPr>
          <w:rFonts w:eastAsia="Aptos"/>
        </w:rPr>
        <w:t xml:space="preserve">th </w:t>
      </w:r>
      <w:r w:rsidRPr="003752CB">
        <w:rPr>
          <w:rFonts w:eastAsia="Aptos"/>
        </w:rPr>
        <w:t>marginalized users</w:t>
      </w:r>
      <w:r w:rsidR="005E3DC8" w:rsidRPr="003752CB">
        <w:rPr>
          <w:rFonts w:eastAsia="Aptos"/>
        </w:rPr>
        <w:t xml:space="preserve">, </w:t>
      </w:r>
      <w:r w:rsidRPr="003752CB">
        <w:rPr>
          <w:rFonts w:eastAsia="Aptos"/>
        </w:rPr>
        <w:t>prioritizing offline functionality, multilingual interfaces, and compatibility with assistive technologies</w:t>
      </w:r>
      <w:r w:rsidR="006C6CBF" w:rsidRPr="003752CB">
        <w:rPr>
          <w:rStyle w:val="EndnoteReference"/>
          <w:rFonts w:eastAsia="Aptos"/>
        </w:rPr>
        <w:endnoteReference w:id="46"/>
      </w:r>
      <w:r w:rsidRPr="003752CB">
        <w:rPr>
          <w:rFonts w:eastAsia="Aptos"/>
        </w:rPr>
        <w:t>.</w:t>
      </w:r>
    </w:p>
    <w:p w14:paraId="41358813" w14:textId="676D17DC" w:rsidR="00DE2B6F" w:rsidRPr="003752CB" w:rsidRDefault="00FA54CF" w:rsidP="00EC2835">
      <w:pPr>
        <w:rPr>
          <w:rFonts w:eastAsia="Aptos"/>
        </w:rPr>
      </w:pPr>
      <w:r w:rsidRPr="003752CB">
        <w:rPr>
          <w:rFonts w:eastAsia="Aptos"/>
        </w:rPr>
        <w:t>Investments in</w:t>
      </w:r>
      <w:r w:rsidR="0029632F" w:rsidRPr="003752CB">
        <w:rPr>
          <w:rFonts w:eastAsia="Aptos"/>
        </w:rPr>
        <w:t xml:space="preserve"> community-based access points</w:t>
      </w:r>
      <w:r w:rsidR="00EB5583" w:rsidRPr="003752CB">
        <w:rPr>
          <w:rFonts w:eastAsia="Aptos"/>
        </w:rPr>
        <w:t xml:space="preserve"> </w:t>
      </w:r>
      <w:r w:rsidRPr="003752CB">
        <w:rPr>
          <w:rFonts w:eastAsia="Aptos"/>
        </w:rPr>
        <w:t xml:space="preserve">such as </w:t>
      </w:r>
      <w:r w:rsidR="0029632F" w:rsidRPr="003752CB">
        <w:rPr>
          <w:rFonts w:eastAsia="Aptos"/>
        </w:rPr>
        <w:t xml:space="preserve">schools, libraries, </w:t>
      </w:r>
      <w:r w:rsidRPr="003752CB">
        <w:rPr>
          <w:rFonts w:eastAsia="Aptos"/>
        </w:rPr>
        <w:t>and</w:t>
      </w:r>
      <w:r w:rsidR="0029632F" w:rsidRPr="003752CB">
        <w:rPr>
          <w:rFonts w:eastAsia="Aptos"/>
        </w:rPr>
        <w:t xml:space="preserve"> community centers</w:t>
      </w:r>
      <w:r w:rsidR="00B36494" w:rsidRPr="003752CB">
        <w:rPr>
          <w:rFonts w:eastAsia="Aptos"/>
        </w:rPr>
        <w:t xml:space="preserve"> can help bridge infrastructure gaps, especially in </w:t>
      </w:r>
      <w:r w:rsidR="0029632F" w:rsidRPr="003752CB">
        <w:rPr>
          <w:rFonts w:eastAsia="Aptos"/>
        </w:rPr>
        <w:t>rural or underserved areas</w:t>
      </w:r>
      <w:r w:rsidR="00880356" w:rsidRPr="003752CB">
        <w:rPr>
          <w:rStyle w:val="EndnoteReference"/>
          <w:rFonts w:eastAsia="Aptos"/>
        </w:rPr>
        <w:endnoteReference w:id="47"/>
      </w:r>
      <w:r w:rsidR="0029632F" w:rsidRPr="003752CB">
        <w:rPr>
          <w:rFonts w:eastAsia="Aptos"/>
        </w:rPr>
        <w:t xml:space="preserve">. Co-creating solutions with affected communities ensures that infrastructure investments </w:t>
      </w:r>
      <w:r w:rsidR="00B36494" w:rsidRPr="003752CB">
        <w:rPr>
          <w:rFonts w:eastAsia="Aptos"/>
        </w:rPr>
        <w:t>reflect</w:t>
      </w:r>
      <w:r w:rsidR="0029632F" w:rsidRPr="003752CB">
        <w:rPr>
          <w:rFonts w:eastAsia="Aptos"/>
        </w:rPr>
        <w:t xml:space="preserve"> real-world needs and usage patterns</w:t>
      </w:r>
      <w:r w:rsidR="007423C8" w:rsidRPr="003752CB">
        <w:rPr>
          <w:rStyle w:val="EndnoteReference"/>
          <w:rFonts w:eastAsia="Aptos"/>
        </w:rPr>
        <w:endnoteReference w:id="48"/>
      </w:r>
      <w:r w:rsidR="0029632F" w:rsidRPr="003752CB">
        <w:rPr>
          <w:rFonts w:eastAsia="Aptos"/>
        </w:rPr>
        <w:t xml:space="preserve">. </w:t>
      </w:r>
      <w:r w:rsidR="00235725" w:rsidRPr="003752CB">
        <w:rPr>
          <w:rFonts w:eastAsia="Aptos"/>
        </w:rPr>
        <w:t>P</w:t>
      </w:r>
      <w:r w:rsidR="0029632F" w:rsidRPr="003752CB">
        <w:rPr>
          <w:rFonts w:eastAsia="Aptos"/>
        </w:rPr>
        <w:t>artnerships across government, private sector, and civil society are essential to scale inclusive infrastructure and ensure sustainability.</w:t>
      </w:r>
    </w:p>
    <w:p w14:paraId="22D48AA9" w14:textId="2987EED0" w:rsidR="0029632F" w:rsidRPr="003752CB" w:rsidRDefault="0029632F" w:rsidP="00882342">
      <w:pPr>
        <w:pStyle w:val="Heading2"/>
        <w:rPr>
          <w:rFonts w:eastAsia="Aptos"/>
        </w:rPr>
      </w:pPr>
      <w:r w:rsidRPr="003752CB">
        <w:rPr>
          <w:rFonts w:eastAsia="Aptos"/>
        </w:rPr>
        <w:t>Accessible Design</w:t>
      </w:r>
      <w:r w:rsidR="00E701B0" w:rsidRPr="003752CB">
        <w:rPr>
          <w:rFonts w:eastAsia="Aptos"/>
        </w:rPr>
        <w:t xml:space="preserve"> Standards</w:t>
      </w:r>
    </w:p>
    <w:p w14:paraId="4ED836A8" w14:textId="0782C810" w:rsidR="0029632F" w:rsidRPr="003752CB" w:rsidRDefault="00E701B0" w:rsidP="00882342">
      <w:pPr>
        <w:rPr>
          <w:rFonts w:eastAsia="Aptos"/>
        </w:rPr>
      </w:pPr>
      <w:r w:rsidRPr="003752CB">
        <w:rPr>
          <w:rFonts w:eastAsia="Aptos"/>
        </w:rPr>
        <w:t>Accessible design is a cornerstone of digital inclusion.</w:t>
      </w:r>
      <w:r w:rsidR="0029632F" w:rsidRPr="003752CB">
        <w:rPr>
          <w:rFonts w:eastAsia="Aptos"/>
        </w:rPr>
        <w:t xml:space="preserve"> Persons with disabilities often face barriers when navigating websites</w:t>
      </w:r>
      <w:r w:rsidRPr="003752CB">
        <w:rPr>
          <w:rFonts w:eastAsia="Aptos"/>
        </w:rPr>
        <w:t xml:space="preserve"> that lack compatibility with assistive software, alternative </w:t>
      </w:r>
      <w:r w:rsidR="00997B33" w:rsidRPr="003752CB">
        <w:rPr>
          <w:rFonts w:eastAsia="Aptos"/>
        </w:rPr>
        <w:t>text, proper colour contrast, captions or transcripts, intuitive navigation</w:t>
      </w:r>
      <w:r w:rsidR="00800849" w:rsidRPr="003752CB">
        <w:rPr>
          <w:rFonts w:eastAsia="Aptos"/>
        </w:rPr>
        <w:t>, consistent layouts, and brevity</w:t>
      </w:r>
      <w:r w:rsidR="001465C3" w:rsidRPr="003752CB">
        <w:rPr>
          <w:rStyle w:val="EndnoteReference"/>
          <w:rFonts w:eastAsia="Aptos"/>
        </w:rPr>
        <w:endnoteReference w:id="49"/>
      </w:r>
      <w:r w:rsidR="00750A1D" w:rsidRPr="003752CB">
        <w:rPr>
          <w:rFonts w:eastAsia="Aptos"/>
        </w:rPr>
        <w:t>,</w:t>
      </w:r>
      <w:r w:rsidR="00750A1D" w:rsidRPr="003752CB">
        <w:rPr>
          <w:rStyle w:val="EndnoteReference"/>
          <w:rFonts w:eastAsia="Aptos"/>
        </w:rPr>
        <w:endnoteReference w:id="50"/>
      </w:r>
      <w:r w:rsidR="0029632F" w:rsidRPr="003752CB">
        <w:rPr>
          <w:rFonts w:eastAsia="Aptos"/>
        </w:rPr>
        <w:t xml:space="preserve">.  </w:t>
      </w:r>
    </w:p>
    <w:p w14:paraId="62764E30" w14:textId="022C42B2" w:rsidR="00235725" w:rsidRPr="003752CB" w:rsidRDefault="00800849" w:rsidP="00882342">
      <w:pPr>
        <w:rPr>
          <w:rFonts w:eastAsia="Aptos"/>
        </w:rPr>
      </w:pPr>
      <w:r w:rsidRPr="003752CB">
        <w:rPr>
          <w:rFonts w:eastAsia="Aptos"/>
        </w:rPr>
        <w:t>S</w:t>
      </w:r>
      <w:r w:rsidR="0029632F" w:rsidRPr="003752CB">
        <w:rPr>
          <w:rFonts w:eastAsia="Aptos"/>
        </w:rPr>
        <w:t>ervice providers can promote</w:t>
      </w:r>
      <w:r w:rsidRPr="003752CB">
        <w:rPr>
          <w:rFonts w:eastAsia="Aptos"/>
        </w:rPr>
        <w:t xml:space="preserve"> the adoption of the</w:t>
      </w:r>
      <w:r w:rsidR="0029632F" w:rsidRPr="003752CB">
        <w:rPr>
          <w:rFonts w:eastAsia="Aptos"/>
        </w:rPr>
        <w:t xml:space="preserve"> Web Content Accessibility Guidelines (WCAG 2.</w:t>
      </w:r>
      <w:r w:rsidR="0051389A" w:rsidRPr="003752CB">
        <w:rPr>
          <w:rFonts w:eastAsia="Aptos"/>
        </w:rPr>
        <w:t>1</w:t>
      </w:r>
      <w:r w:rsidR="0029632F" w:rsidRPr="003752CB">
        <w:rPr>
          <w:rFonts w:eastAsia="Aptos"/>
        </w:rPr>
        <w:t>)</w:t>
      </w:r>
      <w:r w:rsidR="001D5CA8" w:rsidRPr="003752CB">
        <w:rPr>
          <w:rFonts w:eastAsia="Aptos"/>
        </w:rPr>
        <w:t>, which align with the</w:t>
      </w:r>
      <w:r w:rsidR="00385CFE" w:rsidRPr="003752CB">
        <w:rPr>
          <w:rFonts w:eastAsia="Aptos"/>
        </w:rPr>
        <w:t xml:space="preserve"> </w:t>
      </w:r>
      <w:r w:rsidR="00385CFE" w:rsidRPr="003752CB">
        <w:rPr>
          <w:rFonts w:eastAsia="Aptos"/>
          <w:i/>
          <w:iCs/>
        </w:rPr>
        <w:t>Accessibility Requirements for Information and Communication Technologies (ICT) Standard</w:t>
      </w:r>
      <w:r w:rsidR="00DD5DEC" w:rsidRPr="003752CB">
        <w:rPr>
          <w:rStyle w:val="EndnoteReference"/>
          <w:rFonts w:eastAsia="Aptos"/>
          <w:i/>
          <w:iCs/>
        </w:rPr>
        <w:endnoteReference w:id="51"/>
      </w:r>
      <w:r w:rsidR="006C4CEB" w:rsidRPr="003752CB">
        <w:rPr>
          <w:rFonts w:eastAsia="Aptos"/>
        </w:rPr>
        <w:t>.</w:t>
      </w:r>
      <w:r w:rsidR="002E4FED" w:rsidRPr="003752CB">
        <w:rPr>
          <w:rFonts w:eastAsia="Aptos"/>
        </w:rPr>
        <w:t xml:space="preserve"> </w:t>
      </w:r>
      <w:r w:rsidR="0029632F" w:rsidRPr="003752CB">
        <w:rPr>
          <w:rFonts w:eastAsia="Aptos"/>
        </w:rPr>
        <w:t xml:space="preserve">Adopting </w:t>
      </w:r>
      <w:r w:rsidR="00FE0C3C" w:rsidRPr="003752CB">
        <w:rPr>
          <w:rFonts w:eastAsia="Aptos"/>
        </w:rPr>
        <w:t xml:space="preserve">accessibility standards </w:t>
      </w:r>
      <w:r w:rsidR="0029632F" w:rsidRPr="003752CB">
        <w:rPr>
          <w:rFonts w:eastAsia="Aptos"/>
        </w:rPr>
        <w:t xml:space="preserve">helps ensure </w:t>
      </w:r>
      <w:r w:rsidR="003C664D" w:rsidRPr="003752CB">
        <w:rPr>
          <w:rFonts w:eastAsia="Aptos"/>
        </w:rPr>
        <w:t xml:space="preserve">legal </w:t>
      </w:r>
      <w:r w:rsidR="0029632F" w:rsidRPr="003752CB">
        <w:rPr>
          <w:rFonts w:eastAsia="Aptos"/>
        </w:rPr>
        <w:t>compliance</w:t>
      </w:r>
      <w:r w:rsidR="003C664D" w:rsidRPr="003752CB">
        <w:rPr>
          <w:rFonts w:eastAsia="Aptos"/>
        </w:rPr>
        <w:t>,</w:t>
      </w:r>
      <w:r w:rsidR="0029632F" w:rsidRPr="003752CB">
        <w:rPr>
          <w:rFonts w:eastAsia="Aptos"/>
        </w:rPr>
        <w:t xml:space="preserve"> improves usability for all Canadians, </w:t>
      </w:r>
      <w:r w:rsidR="003C664D" w:rsidRPr="003752CB">
        <w:rPr>
          <w:rFonts w:eastAsia="Aptos"/>
        </w:rPr>
        <w:t>and future-proofs digital services</w:t>
      </w:r>
      <w:r w:rsidR="00AE34A9" w:rsidRPr="003752CB">
        <w:rPr>
          <w:rStyle w:val="EndnoteReference"/>
          <w:rFonts w:eastAsia="Aptos"/>
        </w:rPr>
        <w:endnoteReference w:id="52"/>
      </w:r>
      <w:r w:rsidR="0029632F" w:rsidRPr="003752CB">
        <w:rPr>
          <w:rFonts w:eastAsia="Aptos"/>
        </w:rPr>
        <w:t>.</w:t>
      </w:r>
    </w:p>
    <w:tbl>
      <w:tblPr>
        <w:tblStyle w:val="TableGrid"/>
        <w:tblW w:w="0" w:type="auto"/>
        <w:tblLook w:val="04A0" w:firstRow="1" w:lastRow="0" w:firstColumn="1" w:lastColumn="0" w:noHBand="0" w:noVBand="1"/>
      </w:tblPr>
      <w:tblGrid>
        <w:gridCol w:w="9350"/>
      </w:tblGrid>
      <w:tr w:rsidR="0029632F" w:rsidRPr="003752CB" w14:paraId="42FAE544" w14:textId="77777777" w:rsidTr="00DE4B00">
        <w:tc>
          <w:tcPr>
            <w:tcW w:w="9350" w:type="dxa"/>
          </w:tcPr>
          <w:p w14:paraId="3086C3AE" w14:textId="07EC4527" w:rsidR="001912AD" w:rsidRPr="003752CB" w:rsidRDefault="0029632F" w:rsidP="009D3EC2">
            <w:pPr>
              <w:jc w:val="center"/>
              <w:rPr>
                <w:rFonts w:eastAsia="Aptos" w:cs="Aptos"/>
                <w:color w:val="156082" w:themeColor="accent1"/>
                <w:sz w:val="28"/>
                <w:szCs w:val="28"/>
              </w:rPr>
            </w:pPr>
            <w:r w:rsidRPr="003752CB">
              <w:rPr>
                <w:rFonts w:eastAsia="Aptos" w:cs="Aptos"/>
                <w:color w:val="156082" w:themeColor="accent1"/>
                <w:sz w:val="28"/>
                <w:szCs w:val="28"/>
              </w:rPr>
              <w:t>Web Content Accessibility Guidelines (WCAG) 2.</w:t>
            </w:r>
            <w:r w:rsidR="00D62DD7" w:rsidRPr="003752CB">
              <w:rPr>
                <w:rFonts w:eastAsia="Aptos" w:cs="Aptos"/>
                <w:color w:val="156082" w:themeColor="accent1"/>
                <w:sz w:val="28"/>
                <w:szCs w:val="28"/>
              </w:rPr>
              <w:t>1</w:t>
            </w:r>
            <w:r w:rsidRPr="003752CB">
              <w:rPr>
                <w:rFonts w:eastAsia="Aptos" w:cs="Aptos"/>
                <w:color w:val="156082" w:themeColor="accent1"/>
                <w:sz w:val="28"/>
                <w:szCs w:val="28"/>
              </w:rPr>
              <w:t xml:space="preserve"> Overview</w:t>
            </w:r>
            <w:r w:rsidR="009E3C9D" w:rsidRPr="003752CB">
              <w:rPr>
                <w:rStyle w:val="EndnoteReference"/>
                <w:rFonts w:eastAsia="Aptos" w:cs="Aptos"/>
                <w:color w:val="156082" w:themeColor="accent1"/>
                <w:sz w:val="28"/>
                <w:szCs w:val="28"/>
              </w:rPr>
              <w:endnoteReference w:customMarkFollows="1" w:id="53"/>
              <w:t>25</w:t>
            </w:r>
            <w:r w:rsidRPr="003752CB">
              <w:rPr>
                <w:rFonts w:eastAsia="Aptos" w:cs="Aptos"/>
                <w:color w:val="156082" w:themeColor="accent1"/>
                <w:sz w:val="28"/>
                <w:szCs w:val="28"/>
              </w:rPr>
              <w:t xml:space="preserve"> </w:t>
            </w:r>
          </w:p>
          <w:p w14:paraId="6FB662D8" w14:textId="3DBB4E5E" w:rsidR="0029632F" w:rsidRPr="003752CB" w:rsidRDefault="0029632F" w:rsidP="009D3EC2">
            <w:pPr>
              <w:jc w:val="center"/>
              <w:rPr>
                <w:rFonts w:eastAsia="Aptos" w:cs="Aptos"/>
                <w:color w:val="156082" w:themeColor="accent1"/>
                <w:sz w:val="28"/>
                <w:szCs w:val="28"/>
              </w:rPr>
            </w:pPr>
          </w:p>
        </w:tc>
      </w:tr>
      <w:tr w:rsidR="0029632F" w:rsidRPr="003752CB" w14:paraId="73F54C5A" w14:textId="77777777" w:rsidTr="00DE4B00">
        <w:tc>
          <w:tcPr>
            <w:tcW w:w="9350" w:type="dxa"/>
          </w:tcPr>
          <w:p w14:paraId="2E3A31A7" w14:textId="13451CA9" w:rsidR="0029632F" w:rsidRPr="003752CB" w:rsidRDefault="0029632F" w:rsidP="009D3EC2">
            <w:pPr>
              <w:rPr>
                <w:rFonts w:eastAsia="Aptos" w:cs="Aptos"/>
              </w:rPr>
            </w:pPr>
            <w:r w:rsidRPr="003752CB">
              <w:rPr>
                <w:rFonts w:eastAsia="Aptos" w:cs="Aptos"/>
              </w:rPr>
              <w:t>The current</w:t>
            </w:r>
            <w:r w:rsidR="00723680" w:rsidRPr="003752CB">
              <w:rPr>
                <w:rFonts w:eastAsia="Aptos" w:cs="Aptos"/>
              </w:rPr>
              <w:t xml:space="preserve"> Canadian</w:t>
            </w:r>
            <w:r w:rsidRPr="003752CB">
              <w:rPr>
                <w:rFonts w:eastAsia="Aptos" w:cs="Aptos"/>
              </w:rPr>
              <w:t xml:space="preserve"> standard for digital accessibility is the Web Content Accessibility Guidelines (WCAG) 2.</w:t>
            </w:r>
            <w:r w:rsidR="00723680" w:rsidRPr="003752CB">
              <w:rPr>
                <w:rFonts w:eastAsia="Aptos" w:cs="Aptos"/>
              </w:rPr>
              <w:t>1</w:t>
            </w:r>
            <w:r w:rsidRPr="003752CB">
              <w:rPr>
                <w:rFonts w:eastAsia="Aptos" w:cs="Aptos"/>
              </w:rPr>
              <w:t>, published by the World Wide Web Consortium in 2023. This spotlight includes an overview of key principles and guidelines that service providers, policymakers, and employers can refer to for inclusive web content.</w:t>
            </w:r>
          </w:p>
          <w:p w14:paraId="098FA63E" w14:textId="77777777" w:rsidR="0029632F" w:rsidRPr="003752CB" w:rsidRDefault="0029632F" w:rsidP="009D3EC2">
            <w:pPr>
              <w:rPr>
                <w:rFonts w:eastAsia="Aptos" w:cs="Aptos"/>
                <w:b/>
                <w:bCs/>
              </w:rPr>
            </w:pPr>
          </w:p>
          <w:p w14:paraId="66E95271" w14:textId="77777777" w:rsidR="0029632F" w:rsidRPr="003752CB" w:rsidRDefault="0029632F" w:rsidP="009D3EC2">
            <w:pPr>
              <w:rPr>
                <w:rFonts w:eastAsia="Aptos" w:cs="Aptos"/>
                <w:color w:val="156082" w:themeColor="accent1"/>
              </w:rPr>
            </w:pPr>
            <w:r w:rsidRPr="003752CB">
              <w:rPr>
                <w:rFonts w:eastAsia="Aptos" w:cs="Aptos"/>
                <w:color w:val="156082" w:themeColor="accent1"/>
              </w:rPr>
              <w:t>Key Principles of Web Content Accessibility</w:t>
            </w:r>
          </w:p>
          <w:p w14:paraId="200CA28D" w14:textId="77777777" w:rsidR="0029632F" w:rsidRPr="003752CB" w:rsidRDefault="0029632F" w:rsidP="009D3EC2">
            <w:pPr>
              <w:rPr>
                <w:rFonts w:eastAsia="Aptos" w:cs="Aptos"/>
              </w:rPr>
            </w:pPr>
          </w:p>
          <w:p w14:paraId="1FC4CB79" w14:textId="5D6933C5" w:rsidR="0029632F" w:rsidRPr="003752CB" w:rsidRDefault="0029632F" w:rsidP="009D3EC2">
            <w:pPr>
              <w:rPr>
                <w:rFonts w:eastAsia="Aptos" w:cs="Aptos"/>
              </w:rPr>
            </w:pPr>
            <w:r w:rsidRPr="003752CB">
              <w:rPr>
                <w:rFonts w:eastAsia="Aptos" w:cs="Aptos"/>
              </w:rPr>
              <w:t>WCAG 2.</w:t>
            </w:r>
            <w:r w:rsidR="006A590F" w:rsidRPr="003752CB">
              <w:rPr>
                <w:rFonts w:eastAsia="Aptos" w:cs="Aptos"/>
              </w:rPr>
              <w:t>1</w:t>
            </w:r>
            <w:r w:rsidRPr="003752CB">
              <w:rPr>
                <w:rFonts w:eastAsia="Aptos" w:cs="Aptos"/>
              </w:rPr>
              <w:t xml:space="preserve"> includes four foundational principles:</w:t>
            </w:r>
          </w:p>
          <w:p w14:paraId="5BBEA909" w14:textId="27F3E522" w:rsidR="0029632F" w:rsidRPr="003752CB" w:rsidRDefault="0029632F" w:rsidP="009D3EC2">
            <w:pPr>
              <w:pStyle w:val="ListParagraph"/>
              <w:numPr>
                <w:ilvl w:val="0"/>
                <w:numId w:val="1"/>
              </w:numPr>
              <w:ind w:left="250" w:hanging="250"/>
              <w:rPr>
                <w:rFonts w:eastAsia="Aptos" w:cs="Aptos"/>
              </w:rPr>
            </w:pPr>
            <w:r w:rsidRPr="003752CB">
              <w:rPr>
                <w:rFonts w:eastAsia="Aptos" w:cs="Aptos"/>
                <w:b/>
                <w:bCs/>
              </w:rPr>
              <w:t>Perceivable:</w:t>
            </w:r>
            <w:r w:rsidRPr="003752CB">
              <w:rPr>
                <w:rFonts w:eastAsia="Aptos" w:cs="Aptos"/>
              </w:rPr>
              <w:t xml:space="preserve"> Information must be presented in ways that users can</w:t>
            </w:r>
            <w:r w:rsidR="00F411BF" w:rsidRPr="003752CB">
              <w:rPr>
                <w:rFonts w:eastAsia="Aptos" w:cs="Aptos"/>
              </w:rPr>
              <w:t xml:space="preserve"> detect and understand</w:t>
            </w:r>
            <w:r w:rsidRPr="003752CB">
              <w:rPr>
                <w:rFonts w:eastAsia="Aptos" w:cs="Aptos"/>
              </w:rPr>
              <w:t>.</w:t>
            </w:r>
          </w:p>
          <w:p w14:paraId="3C67B46F" w14:textId="4094589F" w:rsidR="0029632F" w:rsidRPr="003752CB" w:rsidRDefault="0029632F" w:rsidP="009D3EC2">
            <w:pPr>
              <w:pStyle w:val="ListParagraph"/>
              <w:numPr>
                <w:ilvl w:val="0"/>
                <w:numId w:val="1"/>
              </w:numPr>
              <w:ind w:left="250" w:hanging="250"/>
              <w:rPr>
                <w:rFonts w:eastAsia="Aptos" w:cs="Aptos"/>
              </w:rPr>
            </w:pPr>
            <w:r w:rsidRPr="003752CB">
              <w:rPr>
                <w:rFonts w:eastAsia="Aptos" w:cs="Aptos"/>
                <w:b/>
                <w:bCs/>
              </w:rPr>
              <w:t>Operable:</w:t>
            </w:r>
            <w:r w:rsidRPr="003752CB">
              <w:rPr>
                <w:rFonts w:eastAsia="Aptos" w:cs="Aptos"/>
              </w:rPr>
              <w:t xml:space="preserve"> Interface</w:t>
            </w:r>
            <w:r w:rsidR="006613B2" w:rsidRPr="003752CB">
              <w:rPr>
                <w:rFonts w:eastAsia="Aptos" w:cs="Aptos"/>
              </w:rPr>
              <w:t xml:space="preserve"> and navigation</w:t>
            </w:r>
            <w:r w:rsidRPr="003752CB">
              <w:rPr>
                <w:rFonts w:eastAsia="Aptos" w:cs="Aptos"/>
              </w:rPr>
              <w:t xml:space="preserve"> components must be usable by all</w:t>
            </w:r>
            <w:r w:rsidR="006613B2" w:rsidRPr="003752CB">
              <w:rPr>
                <w:rFonts w:eastAsia="Aptos" w:cs="Aptos"/>
              </w:rPr>
              <w:t>, including those relying on keyboard or other input methods</w:t>
            </w:r>
            <w:r w:rsidRPr="003752CB">
              <w:rPr>
                <w:rFonts w:eastAsia="Aptos" w:cs="Aptos"/>
              </w:rPr>
              <w:t>.</w:t>
            </w:r>
          </w:p>
          <w:p w14:paraId="7181CAF5" w14:textId="52AA17A7" w:rsidR="0029632F" w:rsidRPr="003752CB" w:rsidRDefault="0029632F" w:rsidP="009D3EC2">
            <w:pPr>
              <w:pStyle w:val="ListParagraph"/>
              <w:numPr>
                <w:ilvl w:val="0"/>
                <w:numId w:val="1"/>
              </w:numPr>
              <w:ind w:left="250" w:hanging="250"/>
              <w:rPr>
                <w:rFonts w:eastAsia="Aptos" w:cs="Aptos"/>
              </w:rPr>
            </w:pPr>
            <w:r w:rsidRPr="003752CB">
              <w:rPr>
                <w:rFonts w:eastAsia="Aptos" w:cs="Aptos"/>
                <w:b/>
                <w:bCs/>
              </w:rPr>
              <w:t>Understandable:</w:t>
            </w:r>
            <w:r w:rsidRPr="003752CB">
              <w:rPr>
                <w:rFonts w:eastAsia="Aptos" w:cs="Aptos"/>
              </w:rPr>
              <w:t xml:space="preserve"> Content</w:t>
            </w:r>
            <w:r w:rsidR="006613B2" w:rsidRPr="003752CB">
              <w:rPr>
                <w:rFonts w:eastAsia="Aptos" w:cs="Aptos"/>
              </w:rPr>
              <w:t xml:space="preserve"> and controls</w:t>
            </w:r>
            <w:r w:rsidRPr="003752CB">
              <w:rPr>
                <w:rFonts w:eastAsia="Aptos" w:cs="Aptos"/>
              </w:rPr>
              <w:t xml:space="preserve"> must be clear</w:t>
            </w:r>
            <w:r w:rsidR="004231DB" w:rsidRPr="003752CB">
              <w:rPr>
                <w:rFonts w:eastAsia="Aptos" w:cs="Aptos"/>
              </w:rPr>
              <w:t>,</w:t>
            </w:r>
            <w:r w:rsidRPr="003752CB">
              <w:rPr>
                <w:rFonts w:eastAsia="Aptos" w:cs="Aptos"/>
              </w:rPr>
              <w:t xml:space="preserve"> predictable</w:t>
            </w:r>
            <w:r w:rsidR="004231DB" w:rsidRPr="003752CB">
              <w:rPr>
                <w:rFonts w:eastAsia="Aptos" w:cs="Aptos"/>
              </w:rPr>
              <w:t>, and easy to understand</w:t>
            </w:r>
            <w:r w:rsidRPr="003752CB">
              <w:rPr>
                <w:rFonts w:eastAsia="Aptos" w:cs="Aptos"/>
              </w:rPr>
              <w:t>.</w:t>
            </w:r>
          </w:p>
          <w:p w14:paraId="1B540188" w14:textId="7EE9C8B4" w:rsidR="0029632F" w:rsidRPr="003752CB" w:rsidRDefault="0029632F" w:rsidP="009D3EC2">
            <w:pPr>
              <w:pStyle w:val="ListParagraph"/>
              <w:numPr>
                <w:ilvl w:val="0"/>
                <w:numId w:val="1"/>
              </w:numPr>
              <w:ind w:left="250" w:hanging="250"/>
              <w:rPr>
                <w:rFonts w:eastAsia="Aptos" w:cs="Aptos"/>
              </w:rPr>
            </w:pPr>
            <w:r w:rsidRPr="003752CB">
              <w:rPr>
                <w:rFonts w:eastAsia="Aptos" w:cs="Aptos"/>
                <w:b/>
                <w:bCs/>
              </w:rPr>
              <w:t xml:space="preserve">Robust: </w:t>
            </w:r>
            <w:r w:rsidRPr="003752CB">
              <w:rPr>
                <w:rFonts w:eastAsia="Aptos" w:cs="Aptos"/>
              </w:rPr>
              <w:t xml:space="preserve">Content must </w:t>
            </w:r>
            <w:r w:rsidR="006C4CEB" w:rsidRPr="003752CB">
              <w:rPr>
                <w:rFonts w:eastAsia="Aptos" w:cs="Aptos"/>
              </w:rPr>
              <w:t>work across</w:t>
            </w:r>
            <w:r w:rsidR="004231DB" w:rsidRPr="003752CB">
              <w:rPr>
                <w:rFonts w:eastAsia="Aptos" w:cs="Aptos"/>
              </w:rPr>
              <w:t xml:space="preserve"> </w:t>
            </w:r>
            <w:r w:rsidRPr="003752CB">
              <w:rPr>
                <w:rFonts w:eastAsia="Aptos" w:cs="Aptos"/>
              </w:rPr>
              <w:t>current and future technologies</w:t>
            </w:r>
            <w:r w:rsidR="004231DB" w:rsidRPr="003752CB">
              <w:rPr>
                <w:rFonts w:eastAsia="Aptos" w:cs="Aptos"/>
              </w:rPr>
              <w:t>, including compatibility with assistive tools</w:t>
            </w:r>
            <w:r w:rsidRPr="003752CB">
              <w:rPr>
                <w:rFonts w:eastAsia="Aptos" w:cs="Aptos"/>
              </w:rPr>
              <w:t>.</w:t>
            </w:r>
          </w:p>
          <w:p w14:paraId="00CB80DF" w14:textId="77777777" w:rsidR="0029632F" w:rsidRPr="003752CB" w:rsidRDefault="0029632F" w:rsidP="009D3EC2">
            <w:pPr>
              <w:rPr>
                <w:rFonts w:eastAsia="Aptos" w:cs="Aptos"/>
                <w:b/>
                <w:bCs/>
              </w:rPr>
            </w:pPr>
          </w:p>
          <w:p w14:paraId="1A1BA2E9" w14:textId="77777777" w:rsidR="0029632F" w:rsidRPr="003752CB" w:rsidRDefault="0029632F" w:rsidP="009D3EC2">
            <w:pPr>
              <w:rPr>
                <w:rFonts w:eastAsia="Aptos" w:cs="Aptos"/>
                <w:color w:val="156082" w:themeColor="accent1"/>
              </w:rPr>
            </w:pPr>
            <w:r w:rsidRPr="003752CB">
              <w:rPr>
                <w:rFonts w:eastAsia="Aptos" w:cs="Aptos"/>
                <w:color w:val="156082" w:themeColor="accent1"/>
              </w:rPr>
              <w:lastRenderedPageBreak/>
              <w:t>Key Guidelines</w:t>
            </w:r>
          </w:p>
          <w:p w14:paraId="31458B74" w14:textId="77777777" w:rsidR="0029632F" w:rsidRPr="003752CB" w:rsidRDefault="0029632F" w:rsidP="009D3EC2">
            <w:pPr>
              <w:rPr>
                <w:rFonts w:eastAsia="Aptos" w:cs="Aptos"/>
              </w:rPr>
            </w:pPr>
          </w:p>
          <w:p w14:paraId="5403B911" w14:textId="3998A82F" w:rsidR="0029632F" w:rsidRPr="003752CB" w:rsidRDefault="0029632F" w:rsidP="009D3EC2">
            <w:pPr>
              <w:rPr>
                <w:rFonts w:eastAsia="Aptos" w:cs="Aptos"/>
              </w:rPr>
            </w:pPr>
            <w:r w:rsidRPr="003752CB">
              <w:rPr>
                <w:rFonts w:eastAsia="Aptos" w:cs="Aptos"/>
              </w:rPr>
              <w:t>WCAG 2.</w:t>
            </w:r>
            <w:r w:rsidR="00F55AC0" w:rsidRPr="003752CB">
              <w:rPr>
                <w:rFonts w:eastAsia="Aptos" w:cs="Aptos"/>
              </w:rPr>
              <w:t>1</w:t>
            </w:r>
            <w:r w:rsidRPr="003752CB">
              <w:rPr>
                <w:rFonts w:eastAsia="Aptos" w:cs="Aptos"/>
              </w:rPr>
              <w:t xml:space="preserve"> includes several key guidelines to ensure accessibility:</w:t>
            </w:r>
          </w:p>
          <w:p w14:paraId="2DDFB428" w14:textId="77777777" w:rsidR="0029632F" w:rsidRPr="003752CB" w:rsidRDefault="0029632F" w:rsidP="009D3EC2">
            <w:pPr>
              <w:rPr>
                <w:rFonts w:eastAsia="Aptos" w:cs="Aptos"/>
              </w:rPr>
            </w:pPr>
          </w:p>
          <w:p w14:paraId="36C000C6" w14:textId="44915CC3" w:rsidR="006142EF" w:rsidRPr="003752CB" w:rsidRDefault="0029632F" w:rsidP="009D3EC2">
            <w:pPr>
              <w:rPr>
                <w:rFonts w:eastAsia="Aptos" w:cs="Aptos"/>
              </w:rPr>
            </w:pPr>
            <w:r w:rsidRPr="003752CB">
              <w:rPr>
                <w:rFonts w:eastAsia="Aptos" w:cs="Aptos"/>
              </w:rPr>
              <w:t xml:space="preserve">• </w:t>
            </w:r>
            <w:r w:rsidR="006C4CEB" w:rsidRPr="003752CB">
              <w:rPr>
                <w:rFonts w:eastAsia="Aptos" w:cs="Aptos"/>
              </w:rPr>
              <w:t>Use clear</w:t>
            </w:r>
            <w:r w:rsidRPr="003752CB">
              <w:rPr>
                <w:rFonts w:eastAsia="Aptos" w:cs="Aptos"/>
              </w:rPr>
              <w:t xml:space="preserve"> and simple language that’s easy to read and understand</w:t>
            </w:r>
          </w:p>
          <w:p w14:paraId="311C6D45" w14:textId="3BB947F7" w:rsidR="0029632F" w:rsidRPr="003752CB" w:rsidRDefault="0029632F" w:rsidP="009D3EC2">
            <w:pPr>
              <w:rPr>
                <w:rFonts w:eastAsia="Aptos" w:cs="Aptos"/>
              </w:rPr>
            </w:pPr>
            <w:r w:rsidRPr="003752CB">
              <w:rPr>
                <w:rFonts w:eastAsia="Aptos" w:cs="Aptos"/>
              </w:rPr>
              <w:t xml:space="preserve">• </w:t>
            </w:r>
            <w:r w:rsidR="006142EF" w:rsidRPr="003752CB">
              <w:rPr>
                <w:rFonts w:eastAsia="Aptos" w:cs="Aptos"/>
              </w:rPr>
              <w:t>Ensure logical structure and navigation, including headings, labels, and keyboard accessibility</w:t>
            </w:r>
          </w:p>
          <w:p w14:paraId="2A98B3BA" w14:textId="2B4231E1" w:rsidR="0029632F" w:rsidRPr="003752CB" w:rsidRDefault="0029632F" w:rsidP="009D3EC2">
            <w:pPr>
              <w:rPr>
                <w:rFonts w:eastAsia="Aptos" w:cs="Aptos"/>
                <w:lang w:val="en-US"/>
              </w:rPr>
            </w:pPr>
            <w:r w:rsidRPr="003752CB">
              <w:rPr>
                <w:rFonts w:eastAsia="Aptos" w:cs="Aptos"/>
                <w:lang w:val="en-US"/>
              </w:rPr>
              <w:t xml:space="preserve">• </w:t>
            </w:r>
            <w:r w:rsidR="006142EF" w:rsidRPr="003752CB">
              <w:rPr>
                <w:rFonts w:eastAsia="Aptos" w:cs="Aptos"/>
                <w:lang w:val="en-US"/>
              </w:rPr>
              <w:t xml:space="preserve">Maintain </w:t>
            </w:r>
            <w:r w:rsidR="00420F45" w:rsidRPr="003752CB">
              <w:rPr>
                <w:rFonts w:eastAsia="Aptos" w:cs="Aptos"/>
                <w:lang w:val="en-US"/>
              </w:rPr>
              <w:t>sufficient colour contrast so text and interface elements are easily visible</w:t>
            </w:r>
          </w:p>
          <w:p w14:paraId="275477E2" w14:textId="07F28146" w:rsidR="0029632F" w:rsidRPr="003752CB" w:rsidRDefault="0029632F" w:rsidP="009D3EC2">
            <w:pPr>
              <w:rPr>
                <w:rFonts w:eastAsia="Aptos" w:cs="Aptos"/>
              </w:rPr>
            </w:pPr>
            <w:r w:rsidRPr="003752CB">
              <w:rPr>
                <w:rFonts w:eastAsia="Aptos" w:cs="Aptos"/>
              </w:rPr>
              <w:t xml:space="preserve">• </w:t>
            </w:r>
            <w:r w:rsidR="006A4002" w:rsidRPr="003752CB">
              <w:rPr>
                <w:rFonts w:eastAsia="Aptos" w:cs="Aptos"/>
              </w:rPr>
              <w:t>Ensure c</w:t>
            </w:r>
            <w:r w:rsidR="00CC6D00" w:rsidRPr="003752CB">
              <w:rPr>
                <w:rFonts w:eastAsia="Aptos" w:cs="Aptos"/>
              </w:rPr>
              <w:t>ompatibility with</w:t>
            </w:r>
            <w:r w:rsidR="00C735F7" w:rsidRPr="003752CB">
              <w:rPr>
                <w:rFonts w:eastAsia="Aptos" w:cs="Aptos"/>
              </w:rPr>
              <w:t xml:space="preserve"> a</w:t>
            </w:r>
            <w:r w:rsidRPr="003752CB">
              <w:rPr>
                <w:rFonts w:eastAsia="Aptos" w:cs="Aptos"/>
              </w:rPr>
              <w:t>ssistive technology</w:t>
            </w:r>
            <w:r w:rsidR="00CC6D00" w:rsidRPr="003752CB">
              <w:rPr>
                <w:rFonts w:eastAsia="Aptos" w:cs="Aptos"/>
              </w:rPr>
              <w:t xml:space="preserve"> (e.g., screen readers, magnifiers, </w:t>
            </w:r>
            <w:r w:rsidR="006A4002" w:rsidRPr="003752CB">
              <w:rPr>
                <w:rFonts w:eastAsia="Aptos" w:cs="Aptos"/>
              </w:rPr>
              <w:t>and speech input tools</w:t>
            </w:r>
            <w:r w:rsidR="00CC6D00" w:rsidRPr="003752CB">
              <w:rPr>
                <w:rFonts w:eastAsia="Aptos" w:cs="Aptos"/>
              </w:rPr>
              <w:t>)</w:t>
            </w:r>
          </w:p>
          <w:p w14:paraId="6E87E47B" w14:textId="4C487DE5" w:rsidR="0029632F" w:rsidRPr="003752CB" w:rsidRDefault="0029632F" w:rsidP="009D3EC2">
            <w:pPr>
              <w:rPr>
                <w:rFonts w:eastAsia="Aptos" w:cs="Aptos"/>
              </w:rPr>
            </w:pPr>
            <w:r w:rsidRPr="003752CB">
              <w:rPr>
                <w:rFonts w:eastAsia="Aptos" w:cs="Aptos"/>
              </w:rPr>
              <w:t xml:space="preserve">• </w:t>
            </w:r>
            <w:r w:rsidR="00314FDA" w:rsidRPr="003752CB">
              <w:rPr>
                <w:rFonts w:eastAsia="Aptos" w:cs="Aptos"/>
              </w:rPr>
              <w:t>Provide text alternatives for non-text content, such as alt text for images and transcripts or captions for audio/video</w:t>
            </w:r>
          </w:p>
          <w:p w14:paraId="5419DC7F" w14:textId="4F033996" w:rsidR="0029632F" w:rsidRPr="003752CB" w:rsidRDefault="0029632F" w:rsidP="009D3EC2">
            <w:pPr>
              <w:rPr>
                <w:rFonts w:eastAsia="Aptos" w:cs="Aptos"/>
              </w:rPr>
            </w:pPr>
            <w:r w:rsidRPr="003752CB">
              <w:rPr>
                <w:rFonts w:eastAsia="Aptos" w:cs="Aptos"/>
              </w:rPr>
              <w:t xml:space="preserve">• Display </w:t>
            </w:r>
            <w:r w:rsidR="00F55AC0" w:rsidRPr="003752CB">
              <w:rPr>
                <w:rFonts w:eastAsia="Aptos" w:cs="Aptos"/>
              </w:rPr>
              <w:t xml:space="preserve">helpful </w:t>
            </w:r>
            <w:r w:rsidRPr="003752CB">
              <w:rPr>
                <w:rFonts w:eastAsia="Aptos" w:cs="Aptos"/>
              </w:rPr>
              <w:t>error messages</w:t>
            </w:r>
            <w:r w:rsidR="00F55AC0" w:rsidRPr="003752CB">
              <w:rPr>
                <w:rFonts w:eastAsia="Aptos" w:cs="Aptos"/>
              </w:rPr>
              <w:t xml:space="preserve"> and instructions</w:t>
            </w:r>
            <w:r w:rsidRPr="003752CB">
              <w:rPr>
                <w:rFonts w:eastAsia="Aptos" w:cs="Aptos"/>
              </w:rPr>
              <w:t xml:space="preserve"> to </w:t>
            </w:r>
            <w:r w:rsidR="00F55AC0" w:rsidRPr="003752CB">
              <w:rPr>
                <w:rFonts w:eastAsia="Aptos" w:cs="Aptos"/>
              </w:rPr>
              <w:t>guide</w:t>
            </w:r>
            <w:r w:rsidRPr="003752CB">
              <w:rPr>
                <w:rFonts w:eastAsia="Aptos" w:cs="Aptos"/>
              </w:rPr>
              <w:t xml:space="preserve"> users</w:t>
            </w:r>
            <w:r w:rsidR="00F55AC0" w:rsidRPr="003752CB">
              <w:rPr>
                <w:rFonts w:eastAsia="Aptos" w:cs="Aptos"/>
              </w:rPr>
              <w:t xml:space="preserve"> through forms and interactions</w:t>
            </w:r>
            <w:r w:rsidRPr="003752CB">
              <w:rPr>
                <w:rFonts w:eastAsia="Aptos" w:cs="Aptos"/>
              </w:rPr>
              <w:t xml:space="preserve"> </w:t>
            </w:r>
          </w:p>
          <w:p w14:paraId="7F2CC7AE" w14:textId="2593E41B" w:rsidR="0029632F" w:rsidRPr="003752CB" w:rsidRDefault="0029632F" w:rsidP="009D3EC2">
            <w:pPr>
              <w:rPr>
                <w:rFonts w:eastAsia="Aptos" w:cs="Aptos"/>
              </w:rPr>
            </w:pPr>
            <w:r w:rsidRPr="003752CB">
              <w:rPr>
                <w:rFonts w:eastAsia="Aptos" w:cs="Aptos"/>
              </w:rPr>
              <w:t xml:space="preserve">• </w:t>
            </w:r>
            <w:r w:rsidR="00F55AC0" w:rsidRPr="003752CB">
              <w:rPr>
                <w:rFonts w:eastAsia="Aptos" w:cs="Aptos"/>
              </w:rPr>
              <w:t>Use v</w:t>
            </w:r>
            <w:r w:rsidRPr="003752CB">
              <w:rPr>
                <w:rFonts w:eastAsia="Aptos" w:cs="Aptos"/>
              </w:rPr>
              <w:t>alid code</w:t>
            </w:r>
            <w:r w:rsidR="00CB121B" w:rsidRPr="003752CB">
              <w:rPr>
                <w:rFonts w:eastAsia="Aptos" w:cs="Aptos"/>
              </w:rPr>
              <w:t xml:space="preserve"> (e.g., HTML)</w:t>
            </w:r>
            <w:r w:rsidRPr="003752CB">
              <w:rPr>
                <w:rFonts w:eastAsia="Aptos" w:cs="Aptos"/>
              </w:rPr>
              <w:t xml:space="preserve"> </w:t>
            </w:r>
            <w:r w:rsidR="00F55AC0" w:rsidRPr="003752CB">
              <w:rPr>
                <w:rFonts w:eastAsia="Aptos" w:cs="Aptos"/>
              </w:rPr>
              <w:t>to support accessibility across browsers, devices, and assistive tools</w:t>
            </w:r>
          </w:p>
        </w:tc>
      </w:tr>
    </w:tbl>
    <w:p w14:paraId="3835C88C" w14:textId="274877F4" w:rsidR="00272F6F" w:rsidRPr="003752CB" w:rsidRDefault="00272F6F" w:rsidP="001B4415">
      <w:pPr>
        <w:pStyle w:val="Heading1"/>
      </w:pPr>
      <w:r w:rsidRPr="003752CB">
        <w:rPr>
          <w:rFonts w:eastAsia="Aptos"/>
        </w:rPr>
        <w:t xml:space="preserve">Strategies for </w:t>
      </w:r>
      <w:r w:rsidR="00D25446" w:rsidRPr="003752CB">
        <w:rPr>
          <w:rFonts w:eastAsia="Aptos"/>
        </w:rPr>
        <w:t xml:space="preserve">Supporting </w:t>
      </w:r>
      <w:r w:rsidRPr="003752CB">
        <w:rPr>
          <w:rFonts w:eastAsia="Aptos"/>
        </w:rPr>
        <w:t>Digital Skills Development</w:t>
      </w:r>
    </w:p>
    <w:p w14:paraId="684F890C" w14:textId="04586EC0" w:rsidR="00F47391" w:rsidRPr="003752CB" w:rsidRDefault="00F47391" w:rsidP="0061582E">
      <w:pPr>
        <w:rPr>
          <w:rFonts w:eastAsia="Aptos"/>
        </w:rPr>
      </w:pPr>
      <w:r w:rsidRPr="003752CB">
        <w:rPr>
          <w:rFonts w:eastAsia="Aptos"/>
        </w:rPr>
        <w:t xml:space="preserve">This section highlights </w:t>
      </w:r>
      <w:r w:rsidR="00356126" w:rsidRPr="003752CB">
        <w:rPr>
          <w:rFonts w:eastAsia="Aptos"/>
        </w:rPr>
        <w:t xml:space="preserve">initiatives and practices for </w:t>
      </w:r>
      <w:r w:rsidRPr="003752CB">
        <w:rPr>
          <w:rFonts w:eastAsia="Aptos"/>
        </w:rPr>
        <w:t xml:space="preserve">service providers to help close the digital divide for persons with disabilities, including accessible </w:t>
      </w:r>
      <w:r w:rsidR="007A625E" w:rsidRPr="003752CB">
        <w:rPr>
          <w:rFonts w:eastAsia="Aptos"/>
        </w:rPr>
        <w:t>learning and training programs,</w:t>
      </w:r>
      <w:r w:rsidRPr="003752CB">
        <w:rPr>
          <w:rFonts w:eastAsia="Aptos"/>
        </w:rPr>
        <w:t xml:space="preserve"> </w:t>
      </w:r>
      <w:r w:rsidR="00872C64" w:rsidRPr="003752CB">
        <w:rPr>
          <w:rFonts w:eastAsia="Aptos"/>
        </w:rPr>
        <w:t>advocacy, and effective program monitoring and evaluation</w:t>
      </w:r>
      <w:r w:rsidR="001138E8" w:rsidRPr="003752CB">
        <w:rPr>
          <w:rFonts w:eastAsia="Aptos"/>
        </w:rPr>
        <w:t>.</w:t>
      </w:r>
    </w:p>
    <w:p w14:paraId="4E4987AC" w14:textId="0C860F92" w:rsidR="00F47391" w:rsidRPr="003752CB" w:rsidRDefault="00F47391" w:rsidP="001B4415">
      <w:pPr>
        <w:pStyle w:val="Heading2"/>
        <w:rPr>
          <w:rFonts w:eastAsia="Aptos"/>
        </w:rPr>
      </w:pPr>
      <w:r w:rsidRPr="003752CB">
        <w:rPr>
          <w:rFonts w:eastAsia="Aptos"/>
        </w:rPr>
        <w:t>Digital Skills Training</w:t>
      </w:r>
    </w:p>
    <w:p w14:paraId="75E6A40D" w14:textId="7DD857A2" w:rsidR="00F47391" w:rsidRPr="003752CB" w:rsidRDefault="006E6AAE" w:rsidP="009D38C2">
      <w:pPr>
        <w:rPr>
          <w:rFonts w:eastAsia="Aptos"/>
        </w:rPr>
      </w:pPr>
      <w:r w:rsidRPr="003752CB">
        <w:rPr>
          <w:rFonts w:eastAsia="Aptos"/>
        </w:rPr>
        <w:t>Many e</w:t>
      </w:r>
      <w:r w:rsidR="00F47391" w:rsidRPr="003752CB">
        <w:rPr>
          <w:rFonts w:eastAsia="Aptos"/>
        </w:rPr>
        <w:t>mployment service providers across Canada are actively delivering</w:t>
      </w:r>
      <w:r w:rsidRPr="003752CB">
        <w:rPr>
          <w:rFonts w:eastAsia="Aptos"/>
        </w:rPr>
        <w:t xml:space="preserve"> </w:t>
      </w:r>
      <w:r w:rsidR="00F47391" w:rsidRPr="003752CB">
        <w:rPr>
          <w:rFonts w:eastAsia="Aptos"/>
        </w:rPr>
        <w:t xml:space="preserve">targeted digital </w:t>
      </w:r>
      <w:r w:rsidR="00F5236F" w:rsidRPr="003752CB">
        <w:rPr>
          <w:rFonts w:eastAsia="Aptos"/>
        </w:rPr>
        <w:t xml:space="preserve">skills </w:t>
      </w:r>
      <w:r w:rsidR="00F47391" w:rsidRPr="003752CB">
        <w:rPr>
          <w:rFonts w:eastAsia="Aptos"/>
        </w:rPr>
        <w:t>programs that are inclusive by design.</w:t>
      </w:r>
    </w:p>
    <w:p w14:paraId="2C308D5F" w14:textId="77777777" w:rsidR="00F47391" w:rsidRPr="003752CB" w:rsidRDefault="00F47391" w:rsidP="009D38C2">
      <w:pPr>
        <w:rPr>
          <w:rFonts w:eastAsia="Aptos"/>
        </w:rPr>
      </w:pPr>
      <w:r w:rsidRPr="003752CB">
        <w:rPr>
          <w:rFonts w:eastAsia="Aptos"/>
        </w:rPr>
        <w:t>Digital literacy initiatives are most effective when grounded in evidence-based practices, including:</w:t>
      </w:r>
    </w:p>
    <w:p w14:paraId="5DAC38B9" w14:textId="247FD08C" w:rsidR="00F47391" w:rsidRPr="003752CB" w:rsidRDefault="00F47391" w:rsidP="009D3EC2">
      <w:pPr>
        <w:numPr>
          <w:ilvl w:val="0"/>
          <w:numId w:val="2"/>
        </w:numPr>
        <w:spacing w:after="0" w:line="240" w:lineRule="auto"/>
        <w:rPr>
          <w:rFonts w:eastAsia="Aptos" w:cs="Aptos"/>
        </w:rPr>
      </w:pPr>
      <w:r w:rsidRPr="003752CB">
        <w:rPr>
          <w:rFonts w:eastAsia="Aptos" w:cs="Aptos"/>
        </w:rPr>
        <w:t>Inclusive and contextualized learning </w:t>
      </w:r>
    </w:p>
    <w:p w14:paraId="3308E86D" w14:textId="7E4C9114" w:rsidR="00F47391" w:rsidRPr="003752CB" w:rsidRDefault="00D421B4" w:rsidP="009D3EC2">
      <w:pPr>
        <w:numPr>
          <w:ilvl w:val="0"/>
          <w:numId w:val="2"/>
        </w:numPr>
        <w:spacing w:after="0" w:line="240" w:lineRule="auto"/>
        <w:rPr>
          <w:rFonts w:eastAsia="Aptos" w:cs="Aptos"/>
        </w:rPr>
      </w:pPr>
      <w:r w:rsidRPr="003752CB">
        <w:rPr>
          <w:rFonts w:eastAsia="Aptos" w:cs="Aptos"/>
        </w:rPr>
        <w:t>B</w:t>
      </w:r>
      <w:r w:rsidR="00E24089" w:rsidRPr="003752CB">
        <w:rPr>
          <w:rFonts w:eastAsia="Aptos" w:cs="Aptos"/>
        </w:rPr>
        <w:t>uilding interconnected skills</w:t>
      </w:r>
    </w:p>
    <w:p w14:paraId="77C9618E" w14:textId="77777777" w:rsidR="00F47391" w:rsidRPr="003752CB" w:rsidRDefault="00F47391" w:rsidP="009D3EC2">
      <w:pPr>
        <w:numPr>
          <w:ilvl w:val="0"/>
          <w:numId w:val="2"/>
        </w:numPr>
        <w:spacing w:after="0" w:line="240" w:lineRule="auto"/>
        <w:rPr>
          <w:rFonts w:eastAsia="Aptos" w:cs="Aptos"/>
        </w:rPr>
      </w:pPr>
      <w:r w:rsidRPr="003752CB">
        <w:rPr>
          <w:rFonts w:eastAsia="Aptos" w:cs="Aptos"/>
        </w:rPr>
        <w:t>Hands-on, practical learning experiences</w:t>
      </w:r>
    </w:p>
    <w:p w14:paraId="03B07B20" w14:textId="56706107" w:rsidR="00F47391" w:rsidRPr="003752CB" w:rsidRDefault="00F47391" w:rsidP="009D3EC2">
      <w:pPr>
        <w:numPr>
          <w:ilvl w:val="0"/>
          <w:numId w:val="2"/>
        </w:numPr>
        <w:spacing w:after="0" w:line="240" w:lineRule="auto"/>
        <w:rPr>
          <w:rFonts w:eastAsia="Aptos" w:cs="Aptos"/>
        </w:rPr>
      </w:pPr>
      <w:r w:rsidRPr="003752CB">
        <w:rPr>
          <w:rFonts w:eastAsia="Aptos" w:cs="Aptos"/>
        </w:rPr>
        <w:t>Scaffolded and modular program structures</w:t>
      </w:r>
    </w:p>
    <w:p w14:paraId="24703BE4" w14:textId="2ADB73D5" w:rsidR="00F47391" w:rsidRPr="003752CB" w:rsidRDefault="00F47391" w:rsidP="009D3EC2">
      <w:pPr>
        <w:numPr>
          <w:ilvl w:val="0"/>
          <w:numId w:val="2"/>
        </w:numPr>
        <w:spacing w:after="0" w:line="240" w:lineRule="auto"/>
        <w:rPr>
          <w:rFonts w:eastAsia="Aptos" w:cs="Aptos"/>
        </w:rPr>
      </w:pPr>
      <w:r w:rsidRPr="003752CB">
        <w:rPr>
          <w:rFonts w:eastAsia="Aptos" w:cs="Aptos"/>
        </w:rPr>
        <w:t>Empowered facilitators and instructors</w:t>
      </w:r>
      <w:r w:rsidR="00B50FB1" w:rsidRPr="003752CB">
        <w:rPr>
          <w:rStyle w:val="EndnoteReference"/>
          <w:rFonts w:eastAsia="Aptos" w:cs="Aptos"/>
        </w:rPr>
        <w:endnoteReference w:id="54"/>
      </w:r>
    </w:p>
    <w:p w14:paraId="00B65553" w14:textId="75C478E7" w:rsidR="00F47391" w:rsidRPr="003752CB" w:rsidRDefault="00F47391" w:rsidP="001B4415">
      <w:pPr>
        <w:pStyle w:val="Heading3"/>
        <w:rPr>
          <w:rFonts w:eastAsia="Aptos"/>
        </w:rPr>
      </w:pPr>
      <w:r w:rsidRPr="003752CB">
        <w:rPr>
          <w:rFonts w:eastAsia="Aptos"/>
        </w:rPr>
        <w:t>Inclusive and Contextualized Learning</w:t>
      </w:r>
    </w:p>
    <w:p w14:paraId="1F977D11" w14:textId="32EC6793" w:rsidR="00DB200D" w:rsidRPr="003752CB" w:rsidRDefault="00F47391" w:rsidP="009D38C2">
      <w:pPr>
        <w:rPr>
          <w:rFonts w:eastAsia="Aptos"/>
        </w:rPr>
      </w:pPr>
      <w:r w:rsidRPr="003752CB">
        <w:rPr>
          <w:rFonts w:eastAsia="Aptos"/>
        </w:rPr>
        <w:t xml:space="preserve">Accessibility, inclusion, and customization are foundational to effective digital </w:t>
      </w:r>
      <w:r w:rsidR="00F5236F" w:rsidRPr="003752CB">
        <w:rPr>
          <w:rFonts w:eastAsia="Aptos"/>
        </w:rPr>
        <w:t xml:space="preserve">skills </w:t>
      </w:r>
      <w:r w:rsidRPr="003752CB">
        <w:rPr>
          <w:rFonts w:eastAsia="Aptos"/>
        </w:rPr>
        <w:t xml:space="preserve">training. Programs that </w:t>
      </w:r>
      <w:r w:rsidR="00F5236F" w:rsidRPr="003752CB">
        <w:rPr>
          <w:rFonts w:eastAsia="Aptos"/>
        </w:rPr>
        <w:t xml:space="preserve">use </w:t>
      </w:r>
      <w:r w:rsidRPr="003752CB">
        <w:rPr>
          <w:rFonts w:eastAsia="Aptos"/>
        </w:rPr>
        <w:t xml:space="preserve">plain language, </w:t>
      </w:r>
      <w:r w:rsidR="007C2CC3" w:rsidRPr="003752CB">
        <w:rPr>
          <w:rFonts w:eastAsia="Aptos"/>
        </w:rPr>
        <w:t>multiple languages</w:t>
      </w:r>
      <w:r w:rsidRPr="003752CB">
        <w:rPr>
          <w:rFonts w:eastAsia="Aptos"/>
        </w:rPr>
        <w:t xml:space="preserve">, and culturally relevant content </w:t>
      </w:r>
      <w:r w:rsidR="007C2CC3" w:rsidRPr="003752CB">
        <w:rPr>
          <w:rFonts w:eastAsia="Aptos"/>
        </w:rPr>
        <w:t>can</w:t>
      </w:r>
      <w:r w:rsidRPr="003752CB">
        <w:rPr>
          <w:rFonts w:eastAsia="Aptos"/>
        </w:rPr>
        <w:t xml:space="preserve"> support diverse learners.</w:t>
      </w:r>
      <w:r w:rsidR="002628C0" w:rsidRPr="003752CB">
        <w:rPr>
          <w:rFonts w:eastAsia="Aptos"/>
        </w:rPr>
        <w:t xml:space="preserve"> </w:t>
      </w:r>
      <w:r w:rsidR="002628C0" w:rsidRPr="003752CB">
        <w:rPr>
          <w:rFonts w:eastAsia="Aptos"/>
          <w:b/>
          <w:bCs/>
        </w:rPr>
        <w:t>Contextualized learning</w:t>
      </w:r>
      <w:r w:rsidR="00666A1F" w:rsidRPr="003752CB">
        <w:rPr>
          <w:rFonts w:eastAsia="Aptos"/>
        </w:rPr>
        <w:t xml:space="preserve"> </w:t>
      </w:r>
      <w:r w:rsidR="002628C0" w:rsidRPr="003752CB">
        <w:rPr>
          <w:rFonts w:eastAsia="Aptos"/>
        </w:rPr>
        <w:t>c</w:t>
      </w:r>
      <w:r w:rsidR="00DB200D" w:rsidRPr="003752CB">
        <w:rPr>
          <w:rFonts w:eastAsia="Aptos"/>
        </w:rPr>
        <w:t>onnects training to the real-life situations, goals, and environments of participants, making it more meaningful and applicable</w:t>
      </w:r>
      <w:r w:rsidR="00AC4213" w:rsidRPr="003752CB">
        <w:rPr>
          <w:rFonts w:eastAsia="Aptos"/>
        </w:rPr>
        <w:t xml:space="preserve">, as well as helping </w:t>
      </w:r>
      <w:r w:rsidR="00DB200D" w:rsidRPr="003752CB">
        <w:rPr>
          <w:rFonts w:eastAsia="Aptos"/>
        </w:rPr>
        <w:t xml:space="preserve">learners see themselves and their communities </w:t>
      </w:r>
      <w:r w:rsidR="00DB200D" w:rsidRPr="003752CB">
        <w:rPr>
          <w:rFonts w:eastAsia="Aptos"/>
        </w:rPr>
        <w:lastRenderedPageBreak/>
        <w:t>reflected in the learning experience. This approach also supports the development of transferable skills by meeting learners where they are and grounding instruction in familiar contexts. When learners recognize their realities in the training, engagement increases and outcomes improve.</w:t>
      </w:r>
    </w:p>
    <w:p w14:paraId="46AA176B" w14:textId="36F94F15" w:rsidR="00F47391" w:rsidRPr="003752CB" w:rsidRDefault="00F47391" w:rsidP="009D38C2">
      <w:pPr>
        <w:rPr>
          <w:rFonts w:eastAsia="Aptos"/>
        </w:rPr>
      </w:pPr>
      <w:r w:rsidRPr="003752CB">
        <w:rPr>
          <w:rFonts w:eastAsia="Aptos"/>
        </w:rPr>
        <w:t>The Universal Design for Learning (UDL) framework</w:t>
      </w:r>
      <w:r w:rsidR="00D421B2" w:rsidRPr="003752CB">
        <w:rPr>
          <w:rFonts w:eastAsia="Aptos"/>
        </w:rPr>
        <w:t xml:space="preserve"> </w:t>
      </w:r>
      <w:r w:rsidRPr="003752CB">
        <w:rPr>
          <w:rFonts w:eastAsia="Aptos"/>
        </w:rPr>
        <w:t>is central to this approach</w:t>
      </w:r>
      <w:r w:rsidR="00D421B2" w:rsidRPr="003752CB">
        <w:rPr>
          <w:rFonts w:eastAsia="Aptos"/>
        </w:rPr>
        <w:t>, and i</w:t>
      </w:r>
      <w:r w:rsidR="006C42C7" w:rsidRPr="003752CB">
        <w:rPr>
          <w:rFonts w:eastAsia="Aptos"/>
        </w:rPr>
        <w:t xml:space="preserve">ncludes three core principles: </w:t>
      </w:r>
      <w:r w:rsidR="00D421B2" w:rsidRPr="003752CB">
        <w:rPr>
          <w:rFonts w:eastAsia="Aptos"/>
          <w:b/>
          <w:bCs/>
        </w:rPr>
        <w:t>engagement, representation,</w:t>
      </w:r>
      <w:r w:rsidR="00D421B2" w:rsidRPr="003752CB">
        <w:rPr>
          <w:rFonts w:eastAsia="Aptos"/>
        </w:rPr>
        <w:t xml:space="preserve"> and </w:t>
      </w:r>
      <w:r w:rsidR="00D421B2" w:rsidRPr="003752CB">
        <w:rPr>
          <w:rFonts w:eastAsia="Aptos"/>
          <w:b/>
          <w:bCs/>
        </w:rPr>
        <w:t>expression and action</w:t>
      </w:r>
      <w:r w:rsidR="00280074" w:rsidRPr="003752CB">
        <w:rPr>
          <w:rStyle w:val="EndnoteReference"/>
          <w:rFonts w:eastAsia="Aptos"/>
        </w:rPr>
        <w:endnoteReference w:id="55"/>
      </w:r>
      <w:r w:rsidR="008C105D" w:rsidRPr="003752CB">
        <w:rPr>
          <w:rFonts w:eastAsia="Aptos"/>
        </w:rPr>
        <w:t>.</w:t>
      </w:r>
      <w:r w:rsidR="00A04BF1" w:rsidRPr="003752CB">
        <w:rPr>
          <w:rFonts w:eastAsia="Aptos"/>
        </w:rPr>
        <w:t xml:space="preserve"> </w:t>
      </w:r>
    </w:p>
    <w:p w14:paraId="06513F5D" w14:textId="1E94CA5B" w:rsidR="00F47391" w:rsidRPr="003752CB" w:rsidRDefault="00F47391" w:rsidP="009D38C2">
      <w:pPr>
        <w:rPr>
          <w:rFonts w:eastAsia="Aptos" w:cs="Aptos"/>
          <w:color w:val="156082" w:themeColor="accent1"/>
        </w:rPr>
      </w:pPr>
      <w:r w:rsidRPr="003752CB">
        <w:rPr>
          <w:rStyle w:val="Heading5Char"/>
        </w:rPr>
        <w:t xml:space="preserve">Engagement: Meeting Learners Where They Are. </w:t>
      </w:r>
      <w:r w:rsidRPr="003752CB">
        <w:rPr>
          <w:rFonts w:eastAsia="Aptos" w:cs="Aptos"/>
        </w:rPr>
        <w:t>Engagement is strengthened when curriculum design considers the diverse experiences, knowledge bases, learning preferences, and abilities of participants</w:t>
      </w:r>
      <w:r w:rsidR="00280074" w:rsidRPr="003752CB">
        <w:rPr>
          <w:rStyle w:val="EndnoteReference"/>
          <w:rFonts w:eastAsia="Aptos" w:cs="Aptos"/>
        </w:rPr>
        <w:endnoteReference w:customMarkFollows="1" w:id="56"/>
        <w:t>46</w:t>
      </w:r>
      <w:r w:rsidRPr="003752CB">
        <w:rPr>
          <w:rFonts w:eastAsia="Aptos" w:cs="Aptos"/>
        </w:rPr>
        <w:t>. For example, learners may prefer storytelling over theory-building, group work over independent tasks, or hybrid learning over fully in-person or online formats.</w:t>
      </w:r>
    </w:p>
    <w:p w14:paraId="75F87DF1" w14:textId="72809106" w:rsidR="00F47391" w:rsidRPr="003752CB" w:rsidRDefault="00F47391" w:rsidP="009D38C2">
      <w:pPr>
        <w:rPr>
          <w:rFonts w:eastAsia="Aptos" w:cs="Aptos"/>
        </w:rPr>
      </w:pPr>
      <w:r w:rsidRPr="003752CB">
        <w:rPr>
          <w:rFonts w:eastAsia="Aptos" w:cs="Aptos"/>
        </w:rPr>
        <w:t>Hybrid learning models, which blend virtual and in-person delivery, have proven particularly effective</w:t>
      </w:r>
      <w:r w:rsidR="00BE5818" w:rsidRPr="003752CB">
        <w:rPr>
          <w:rStyle w:val="EndnoteReference"/>
          <w:rFonts w:eastAsia="Aptos" w:cs="Aptos"/>
        </w:rPr>
        <w:endnoteReference w:id="57"/>
      </w:r>
      <w:r w:rsidR="00C35F10" w:rsidRPr="003752CB">
        <w:rPr>
          <w:rFonts w:eastAsia="Aptos" w:cs="Aptos"/>
        </w:rPr>
        <w:t>,</w:t>
      </w:r>
      <w:r w:rsidR="00C35F10" w:rsidRPr="003752CB">
        <w:rPr>
          <w:rStyle w:val="EndnoteReference"/>
          <w:rFonts w:eastAsia="Aptos" w:cs="Aptos"/>
        </w:rPr>
        <w:endnoteReference w:id="58"/>
      </w:r>
      <w:r w:rsidRPr="003752CB">
        <w:rPr>
          <w:rFonts w:eastAsia="Aptos" w:cs="Aptos"/>
        </w:rPr>
        <w:t xml:space="preserve">. These models allow learners to learn at their own pace while applying skills in real-world contexts. This flexibility is especially valuable in Canada, where </w:t>
      </w:r>
      <w:r w:rsidR="00926484" w:rsidRPr="003752CB">
        <w:rPr>
          <w:rFonts w:eastAsia="Aptos" w:cs="Aptos"/>
        </w:rPr>
        <w:t xml:space="preserve">populations are spread across </w:t>
      </w:r>
      <w:r w:rsidR="0042769C" w:rsidRPr="003752CB">
        <w:rPr>
          <w:rFonts w:eastAsia="Aptos" w:cs="Aptos"/>
        </w:rPr>
        <w:t xml:space="preserve">large geographic areas, requiring </w:t>
      </w:r>
      <w:r w:rsidRPr="003752CB">
        <w:rPr>
          <w:rFonts w:eastAsia="Aptos" w:cs="Aptos"/>
        </w:rPr>
        <w:t>scalable, adaptable solutions</w:t>
      </w:r>
      <w:r w:rsidR="005E7D69" w:rsidRPr="003752CB">
        <w:rPr>
          <w:rStyle w:val="EndnoteReference"/>
          <w:rFonts w:eastAsia="Aptos" w:cs="Aptos"/>
        </w:rPr>
        <w:endnoteReference w:id="59"/>
      </w:r>
      <w:r w:rsidRPr="003752CB">
        <w:rPr>
          <w:rFonts w:eastAsia="Aptos" w:cs="Aptos"/>
        </w:rPr>
        <w:t>.</w:t>
      </w:r>
    </w:p>
    <w:p w14:paraId="1B8A84B1" w14:textId="4704B0FE" w:rsidR="00F47391" w:rsidRPr="003752CB" w:rsidRDefault="00F47391" w:rsidP="00417DC1">
      <w:pPr>
        <w:rPr>
          <w:rFonts w:eastAsia="Aptos" w:cs="Aptos"/>
        </w:rPr>
      </w:pPr>
      <w:r w:rsidRPr="003752CB">
        <w:rPr>
          <w:rStyle w:val="Heading5Char"/>
        </w:rPr>
        <w:t>Representation: Communication in Multiple Ways.</w:t>
      </w:r>
      <w:r w:rsidRPr="003752CB">
        <w:rPr>
          <w:rFonts w:eastAsia="Aptos" w:cs="Aptos"/>
          <w:color w:val="156082" w:themeColor="accent1"/>
        </w:rPr>
        <w:t xml:space="preserve"> </w:t>
      </w:r>
      <w:r w:rsidRPr="003752CB">
        <w:t xml:space="preserve">Representation refers to </w:t>
      </w:r>
      <w:r w:rsidR="00465FF0" w:rsidRPr="003752CB">
        <w:t xml:space="preserve">the different ways information can be communicated, such as </w:t>
      </w:r>
      <w:r w:rsidRPr="003752CB">
        <w:t>symbols, words, visuals, and language structures</w:t>
      </w:r>
      <w:r w:rsidR="00A01ADF" w:rsidRPr="003752CB">
        <w:rPr>
          <w:rStyle w:val="EndnoteReference"/>
        </w:rPr>
        <w:endnoteReference w:customMarkFollows="1" w:id="60"/>
        <w:t>46</w:t>
      </w:r>
      <w:r w:rsidRPr="003752CB">
        <w:t xml:space="preserve">. In digital </w:t>
      </w:r>
      <w:r w:rsidR="00465FF0" w:rsidRPr="003752CB">
        <w:t>skills training</w:t>
      </w:r>
      <w:r w:rsidRPr="003752CB">
        <w:t>, effective representation involves</w:t>
      </w:r>
      <w:r w:rsidR="00A13230" w:rsidRPr="003752CB">
        <w:t xml:space="preserve"> learning through multiple modes,</w:t>
      </w:r>
      <w:r w:rsidRPr="003752CB">
        <w:t xml:space="preserve"> such as watching videos, defining key terms, analyzing examples, and engaging in </w:t>
      </w:r>
      <w:r w:rsidR="009871B4" w:rsidRPr="003752CB">
        <w:t>discussions</w:t>
      </w:r>
      <w:r w:rsidR="00A01ADF" w:rsidRPr="003752CB">
        <w:rPr>
          <w:rStyle w:val="EndnoteReference"/>
        </w:rPr>
        <w:endnoteReference w:customMarkFollows="1" w:id="61"/>
        <w:t>46</w:t>
      </w:r>
      <w:r w:rsidRPr="003752CB">
        <w:t xml:space="preserve">. </w:t>
      </w:r>
      <w:r w:rsidR="00513115" w:rsidRPr="003752CB">
        <w:t>O</w:t>
      </w:r>
      <w:r w:rsidRPr="003752CB">
        <w:t>ffer</w:t>
      </w:r>
      <w:r w:rsidR="00513115" w:rsidRPr="003752CB">
        <w:t>ing participants</w:t>
      </w:r>
      <w:r w:rsidRPr="003752CB">
        <w:t xml:space="preserve"> choice </w:t>
      </w:r>
      <w:r w:rsidR="00780795" w:rsidRPr="003752CB">
        <w:t xml:space="preserve">and agency </w:t>
      </w:r>
      <w:r w:rsidR="00CE52FF" w:rsidRPr="003752CB">
        <w:t xml:space="preserve">over their learning </w:t>
      </w:r>
      <w:r w:rsidR="006006D3" w:rsidRPr="003752CB">
        <w:t>also improves engagement; for example</w:t>
      </w:r>
      <w:r w:rsidRPr="003752CB">
        <w:t xml:space="preserve">, by </w:t>
      </w:r>
      <w:r w:rsidR="006006D3" w:rsidRPr="003752CB">
        <w:t>allowing participants to select the most relevant and interesting courses from a catalogue</w:t>
      </w:r>
      <w:r w:rsidRPr="003752CB">
        <w:t xml:space="preserve">. </w:t>
      </w:r>
      <w:r w:rsidR="00DA3801" w:rsidRPr="003752CB">
        <w:t>Giving</w:t>
      </w:r>
      <w:r w:rsidR="00636E42" w:rsidRPr="003752CB">
        <w:t xml:space="preserve"> participants </w:t>
      </w:r>
      <w:r w:rsidR="00DA3801" w:rsidRPr="003752CB">
        <w:t>the</w:t>
      </w:r>
      <w:r w:rsidR="00636E42" w:rsidRPr="003752CB">
        <w:t xml:space="preserve"> autonomy </w:t>
      </w:r>
      <w:r w:rsidR="00DA3801" w:rsidRPr="003752CB">
        <w:t>to build their learning plans fosters motivation and deeper understanding.</w:t>
      </w:r>
    </w:p>
    <w:p w14:paraId="2EA7E855" w14:textId="6372C432" w:rsidR="00F47391" w:rsidRPr="003752CB" w:rsidRDefault="00F47391" w:rsidP="00417DC1">
      <w:pPr>
        <w:rPr>
          <w:rFonts w:eastAsia="Aptos" w:cs="Aptos"/>
        </w:rPr>
      </w:pPr>
      <w:r w:rsidRPr="003752CB">
        <w:rPr>
          <w:rStyle w:val="Heading5Char"/>
        </w:rPr>
        <w:t>Expression and Action: Valuing Diverse Outputs.</w:t>
      </w:r>
      <w:r w:rsidRPr="003752CB">
        <w:rPr>
          <w:rFonts w:eastAsia="Aptos" w:cs="Aptos"/>
          <w:color w:val="156082" w:themeColor="accent1"/>
        </w:rPr>
        <w:t xml:space="preserve"> </w:t>
      </w:r>
      <w:r w:rsidRPr="003752CB">
        <w:rPr>
          <w:rFonts w:eastAsia="Aptos" w:cs="Aptos"/>
        </w:rPr>
        <w:t xml:space="preserve">People </w:t>
      </w:r>
      <w:r w:rsidR="002F0B80" w:rsidRPr="003752CB">
        <w:rPr>
          <w:rFonts w:eastAsia="Aptos" w:cs="Aptos"/>
        </w:rPr>
        <w:t xml:space="preserve">have different </w:t>
      </w:r>
      <w:r w:rsidR="00A45AE4" w:rsidRPr="003752CB">
        <w:rPr>
          <w:rFonts w:eastAsia="Aptos" w:cs="Aptos"/>
        </w:rPr>
        <w:t>needs</w:t>
      </w:r>
      <w:r w:rsidR="002F0B80" w:rsidRPr="003752CB">
        <w:rPr>
          <w:rFonts w:eastAsia="Aptos" w:cs="Aptos"/>
        </w:rPr>
        <w:t xml:space="preserve"> for</w:t>
      </w:r>
      <w:r w:rsidR="001D2750" w:rsidRPr="003752CB">
        <w:rPr>
          <w:rFonts w:eastAsia="Aptos" w:cs="Aptos"/>
        </w:rPr>
        <w:t xml:space="preserve"> how they</w:t>
      </w:r>
      <w:r w:rsidR="002F0B80" w:rsidRPr="003752CB">
        <w:rPr>
          <w:rFonts w:eastAsia="Aptos" w:cs="Aptos"/>
        </w:rPr>
        <w:t xml:space="preserve"> </w:t>
      </w:r>
      <w:r w:rsidR="00D00E0C" w:rsidRPr="003752CB">
        <w:rPr>
          <w:rFonts w:eastAsia="Aptos" w:cs="Aptos"/>
        </w:rPr>
        <w:t>navigat</w:t>
      </w:r>
      <w:r w:rsidR="001D2750" w:rsidRPr="003752CB">
        <w:rPr>
          <w:rFonts w:eastAsia="Aptos" w:cs="Aptos"/>
        </w:rPr>
        <w:t>e</w:t>
      </w:r>
      <w:r w:rsidR="00D00E0C" w:rsidRPr="003752CB">
        <w:rPr>
          <w:rFonts w:eastAsia="Aptos" w:cs="Aptos"/>
        </w:rPr>
        <w:t xml:space="preserve"> learning environments,</w:t>
      </w:r>
      <w:r w:rsidR="002D064C" w:rsidRPr="003752CB">
        <w:rPr>
          <w:rFonts w:eastAsia="Aptos" w:cs="Aptos"/>
        </w:rPr>
        <w:t xml:space="preserve"> process information, and communicat</w:t>
      </w:r>
      <w:r w:rsidR="001D2750" w:rsidRPr="003752CB">
        <w:rPr>
          <w:rFonts w:eastAsia="Aptos" w:cs="Aptos"/>
        </w:rPr>
        <w:t>e</w:t>
      </w:r>
      <w:r w:rsidR="00A01ADF" w:rsidRPr="003752CB">
        <w:rPr>
          <w:rStyle w:val="EndnoteReference"/>
          <w:rFonts w:eastAsia="Aptos" w:cs="Aptos"/>
        </w:rPr>
        <w:endnoteReference w:customMarkFollows="1" w:id="62"/>
        <w:t>46</w:t>
      </w:r>
      <w:r w:rsidRPr="003752CB">
        <w:rPr>
          <w:rFonts w:eastAsia="Aptos" w:cs="Aptos"/>
        </w:rPr>
        <w:t xml:space="preserve">. </w:t>
      </w:r>
      <w:r w:rsidR="00CC3E31" w:rsidRPr="003752CB">
        <w:rPr>
          <w:rFonts w:eastAsia="Aptos" w:cs="Aptos"/>
        </w:rPr>
        <w:t xml:space="preserve">Some modes of content delivery or assignment formats can also create barriers for some people with disabilities. </w:t>
      </w:r>
      <w:r w:rsidRPr="003752CB">
        <w:rPr>
          <w:rFonts w:eastAsia="Aptos" w:cs="Aptos"/>
        </w:rPr>
        <w:t xml:space="preserve">For example, some may </w:t>
      </w:r>
      <w:r w:rsidR="00774088" w:rsidRPr="003752CB">
        <w:rPr>
          <w:rFonts w:eastAsia="Aptos" w:cs="Aptos"/>
        </w:rPr>
        <w:t>find timed exams stressful</w:t>
      </w:r>
      <w:r w:rsidR="00D11F23" w:rsidRPr="003752CB">
        <w:rPr>
          <w:rFonts w:eastAsia="Aptos" w:cs="Aptos"/>
        </w:rPr>
        <w:t>, b</w:t>
      </w:r>
      <w:r w:rsidR="006A72B5" w:rsidRPr="003752CB">
        <w:rPr>
          <w:rFonts w:eastAsia="Aptos" w:cs="Aptos"/>
        </w:rPr>
        <w:t>ut can communicate</w:t>
      </w:r>
      <w:r w:rsidR="00E27F83" w:rsidRPr="003752CB">
        <w:rPr>
          <w:rFonts w:eastAsia="Aptos" w:cs="Aptos"/>
        </w:rPr>
        <w:t xml:space="preserve"> their thoughts clearly and effectively in written essays; </w:t>
      </w:r>
      <w:r w:rsidR="004F31AB" w:rsidRPr="003752CB">
        <w:rPr>
          <w:rFonts w:eastAsia="Aptos" w:cs="Aptos"/>
        </w:rPr>
        <w:t>others</w:t>
      </w:r>
      <w:r w:rsidR="00E27F83" w:rsidRPr="003752CB">
        <w:rPr>
          <w:rFonts w:eastAsia="Aptos" w:cs="Aptos"/>
        </w:rPr>
        <w:t xml:space="preserve"> may struggle with public </w:t>
      </w:r>
      <w:r w:rsidR="009871B4" w:rsidRPr="003752CB">
        <w:rPr>
          <w:rFonts w:eastAsia="Aptos" w:cs="Aptos"/>
        </w:rPr>
        <w:t>speaking but</w:t>
      </w:r>
      <w:r w:rsidR="00E27F83" w:rsidRPr="003752CB">
        <w:rPr>
          <w:rFonts w:eastAsia="Aptos" w:cs="Aptos"/>
        </w:rPr>
        <w:t xml:space="preserve"> </w:t>
      </w:r>
      <w:r w:rsidR="004F31AB" w:rsidRPr="003752CB">
        <w:rPr>
          <w:rFonts w:eastAsia="Aptos" w:cs="Aptos"/>
        </w:rPr>
        <w:t xml:space="preserve">contribute thoughtful insights in group discussions. </w:t>
      </w:r>
      <w:r w:rsidRPr="003752CB">
        <w:rPr>
          <w:rFonts w:eastAsia="Aptos" w:cs="Aptos"/>
        </w:rPr>
        <w:t>The UDL framework supports this diversity by encouraging</w:t>
      </w:r>
      <w:r w:rsidR="004F31AB" w:rsidRPr="003752CB">
        <w:rPr>
          <w:rFonts w:eastAsia="Aptos" w:cs="Aptos"/>
        </w:rPr>
        <w:t xml:space="preserve"> instructors to incorporate</w:t>
      </w:r>
      <w:r w:rsidRPr="003752CB">
        <w:rPr>
          <w:rFonts w:eastAsia="Aptos" w:cs="Aptos"/>
        </w:rPr>
        <w:t xml:space="preserve"> multiple forms of expression</w:t>
      </w:r>
      <w:r w:rsidR="00441904" w:rsidRPr="003752CB">
        <w:rPr>
          <w:rFonts w:eastAsia="Aptos" w:cs="Aptos"/>
        </w:rPr>
        <w:t xml:space="preserve"> into curricula</w:t>
      </w:r>
      <w:r w:rsidR="004F31AB" w:rsidRPr="003752CB">
        <w:rPr>
          <w:rFonts w:eastAsia="Aptos" w:cs="Aptos"/>
        </w:rPr>
        <w:t xml:space="preserve">, </w:t>
      </w:r>
      <w:r w:rsidRPr="003752CB">
        <w:rPr>
          <w:rFonts w:eastAsia="Aptos" w:cs="Aptos"/>
        </w:rPr>
        <w:t>such as writing, audio recordings, slide presentations, building models, or crafting.</w:t>
      </w:r>
    </w:p>
    <w:p w14:paraId="3394193F" w14:textId="77777777" w:rsidR="00974DCF" w:rsidRPr="003752CB" w:rsidRDefault="008C105D" w:rsidP="00DA4E4A">
      <w:pPr>
        <w:rPr>
          <w:rFonts w:eastAsia="Aptos" w:cs="Aptos"/>
        </w:rPr>
      </w:pPr>
      <w:r w:rsidRPr="003752CB">
        <w:rPr>
          <w:rStyle w:val="Heading5Char"/>
        </w:rPr>
        <w:lastRenderedPageBreak/>
        <w:t xml:space="preserve">Building </w:t>
      </w:r>
      <w:r w:rsidR="00A71391" w:rsidRPr="003752CB">
        <w:rPr>
          <w:rStyle w:val="Heading5Char"/>
        </w:rPr>
        <w:t>Connections</w:t>
      </w:r>
      <w:r w:rsidRPr="003752CB">
        <w:rPr>
          <w:rStyle w:val="Heading5Char"/>
        </w:rPr>
        <w:t>.</w:t>
      </w:r>
      <w:r w:rsidRPr="003752CB">
        <w:rPr>
          <w:rFonts w:eastAsia="Aptos" w:cs="Aptos"/>
        </w:rPr>
        <w:t xml:space="preserve"> </w:t>
      </w:r>
      <w:r w:rsidR="00F47391" w:rsidRPr="003752CB">
        <w:rPr>
          <w:rFonts w:eastAsia="Aptos" w:cs="Aptos"/>
        </w:rPr>
        <w:t xml:space="preserve">Peer support and mentorship are </w:t>
      </w:r>
      <w:r w:rsidR="00A801AF" w:rsidRPr="003752CB">
        <w:rPr>
          <w:rFonts w:eastAsia="Aptos" w:cs="Aptos"/>
        </w:rPr>
        <w:t>best practices</w:t>
      </w:r>
      <w:r w:rsidR="00F47391" w:rsidRPr="003752CB">
        <w:rPr>
          <w:rFonts w:eastAsia="Aptos" w:cs="Aptos"/>
        </w:rPr>
        <w:t xml:space="preserve"> that align with all three UDL principles</w:t>
      </w:r>
      <w:r w:rsidR="00A801AF" w:rsidRPr="003752CB">
        <w:rPr>
          <w:rFonts w:eastAsia="Aptos" w:cs="Aptos"/>
        </w:rPr>
        <w:t xml:space="preserve">. </w:t>
      </w:r>
      <w:r w:rsidR="00407E04" w:rsidRPr="003752CB">
        <w:rPr>
          <w:rFonts w:eastAsia="Aptos" w:cs="Aptos"/>
        </w:rPr>
        <w:t>Peer support involves reciprocal relationships between individuals who share common challenges</w:t>
      </w:r>
      <w:r w:rsidR="00BE28CB" w:rsidRPr="003752CB">
        <w:rPr>
          <w:rFonts w:eastAsia="Aptos" w:cs="Aptos"/>
        </w:rPr>
        <w:t xml:space="preserve"> </w:t>
      </w:r>
      <w:r w:rsidR="00407E04" w:rsidRPr="003752CB">
        <w:rPr>
          <w:rFonts w:eastAsia="Aptos" w:cs="Aptos"/>
        </w:rPr>
        <w:t>(</w:t>
      </w:r>
      <w:r w:rsidR="00ED7DAF" w:rsidRPr="003752CB">
        <w:rPr>
          <w:rFonts w:eastAsia="Aptos" w:cs="Aptos"/>
        </w:rPr>
        <w:t>e.g.,</w:t>
      </w:r>
      <w:r w:rsidR="00407E04" w:rsidRPr="003752CB">
        <w:rPr>
          <w:rFonts w:eastAsia="Aptos" w:cs="Aptos"/>
        </w:rPr>
        <w:t xml:space="preserve"> </w:t>
      </w:r>
      <w:r w:rsidR="00ED7DAF" w:rsidRPr="003752CB">
        <w:rPr>
          <w:rFonts w:eastAsia="Aptos" w:cs="Aptos"/>
        </w:rPr>
        <w:t xml:space="preserve">navigating </w:t>
      </w:r>
      <w:r w:rsidR="008A56A7" w:rsidRPr="003752CB">
        <w:rPr>
          <w:rFonts w:eastAsia="Aptos" w:cs="Aptos"/>
        </w:rPr>
        <w:t xml:space="preserve">digital inaccessibility </w:t>
      </w:r>
      <w:r w:rsidR="00ED7DAF" w:rsidRPr="003752CB">
        <w:rPr>
          <w:rFonts w:eastAsia="Aptos" w:cs="Aptos"/>
        </w:rPr>
        <w:t>in</w:t>
      </w:r>
      <w:r w:rsidR="008A56A7" w:rsidRPr="003752CB">
        <w:rPr>
          <w:rFonts w:eastAsia="Aptos" w:cs="Aptos"/>
        </w:rPr>
        <w:t xml:space="preserve"> the</w:t>
      </w:r>
      <w:r w:rsidR="00ED7DAF" w:rsidRPr="003752CB">
        <w:rPr>
          <w:rFonts w:eastAsia="Aptos" w:cs="Aptos"/>
        </w:rPr>
        <w:t xml:space="preserve"> online</w:t>
      </w:r>
      <w:r w:rsidR="008A56A7" w:rsidRPr="003752CB">
        <w:rPr>
          <w:rFonts w:eastAsia="Aptos" w:cs="Aptos"/>
        </w:rPr>
        <w:t xml:space="preserve"> job search process</w:t>
      </w:r>
      <w:r w:rsidR="00407E04" w:rsidRPr="003752CB">
        <w:rPr>
          <w:rFonts w:eastAsia="Aptos" w:cs="Aptos"/>
        </w:rPr>
        <w:t>)</w:t>
      </w:r>
      <w:r w:rsidR="00C22E6C" w:rsidRPr="003752CB">
        <w:rPr>
          <w:rFonts w:eastAsia="Aptos" w:cs="Aptos"/>
        </w:rPr>
        <w:t xml:space="preserve">, </w:t>
      </w:r>
      <w:r w:rsidR="0071294C" w:rsidRPr="003752CB">
        <w:rPr>
          <w:rFonts w:eastAsia="Aptos" w:cs="Aptos"/>
        </w:rPr>
        <w:t xml:space="preserve">while mentoring pairs experienced individuals with less experienced ‘mentees’ </w:t>
      </w:r>
      <w:r w:rsidR="000E07F8" w:rsidRPr="003752CB">
        <w:rPr>
          <w:rFonts w:eastAsia="Aptos" w:cs="Aptos"/>
        </w:rPr>
        <w:t>to share knowledge and guidance.</w:t>
      </w:r>
      <w:r w:rsidR="00E66838" w:rsidRPr="003752CB">
        <w:rPr>
          <w:rFonts w:eastAsia="Aptos" w:cs="Aptos"/>
        </w:rPr>
        <w:t xml:space="preserve"> </w:t>
      </w:r>
    </w:p>
    <w:p w14:paraId="4AE5D98E" w14:textId="79C73AAF" w:rsidR="008C0F56" w:rsidRPr="003752CB" w:rsidRDefault="00E66838" w:rsidP="0034380C">
      <w:pPr>
        <w:rPr>
          <w:rFonts w:eastAsia="Aptos" w:cs="Aptos"/>
        </w:rPr>
      </w:pPr>
      <w:r w:rsidRPr="003752CB">
        <w:rPr>
          <w:rFonts w:eastAsia="Aptos" w:cs="Aptos"/>
        </w:rPr>
        <w:t xml:space="preserve">Mentoring can take place </w:t>
      </w:r>
      <w:r w:rsidR="00D51886" w:rsidRPr="003752CB">
        <w:rPr>
          <w:rFonts w:eastAsia="Aptos" w:cs="Aptos"/>
        </w:rPr>
        <w:t>with</w:t>
      </w:r>
      <w:r w:rsidRPr="003752CB">
        <w:rPr>
          <w:rFonts w:eastAsia="Aptos" w:cs="Aptos"/>
        </w:rPr>
        <w:t>in formalized, structured programs or through informal relationships</w:t>
      </w:r>
      <w:r w:rsidR="00D51886" w:rsidRPr="003752CB">
        <w:rPr>
          <w:rFonts w:eastAsia="Aptos" w:cs="Aptos"/>
        </w:rPr>
        <w:t>.</w:t>
      </w:r>
      <w:r w:rsidR="00251D20" w:rsidRPr="003752CB">
        <w:rPr>
          <w:rFonts w:eastAsia="Aptos" w:cs="Aptos"/>
        </w:rPr>
        <w:t xml:space="preserve"> </w:t>
      </w:r>
      <w:r w:rsidR="000B6531" w:rsidRPr="003752CB">
        <w:rPr>
          <w:rFonts w:eastAsia="Aptos" w:cs="Aptos"/>
        </w:rPr>
        <w:t xml:space="preserve">Research shows that </w:t>
      </w:r>
      <w:r w:rsidR="004B23D3" w:rsidRPr="003752CB">
        <w:rPr>
          <w:rFonts w:eastAsia="Aptos" w:cs="Aptos"/>
        </w:rPr>
        <w:t>mentorship</w:t>
      </w:r>
      <w:r w:rsidR="00FB7AF4" w:rsidRPr="003752CB">
        <w:rPr>
          <w:rFonts w:eastAsia="Aptos" w:cs="Aptos"/>
        </w:rPr>
        <w:t xml:space="preserve"> </w:t>
      </w:r>
      <w:r w:rsidR="000B6531" w:rsidRPr="003752CB">
        <w:rPr>
          <w:rFonts w:eastAsia="Aptos" w:cs="Aptos"/>
        </w:rPr>
        <w:t>offers meaningful</w:t>
      </w:r>
      <w:r w:rsidR="00B000F2" w:rsidRPr="003752CB">
        <w:rPr>
          <w:rFonts w:eastAsia="Aptos" w:cs="Aptos"/>
        </w:rPr>
        <w:t xml:space="preserve"> benefits</w:t>
      </w:r>
      <w:r w:rsidR="004B23D3" w:rsidRPr="003752CB">
        <w:rPr>
          <w:rFonts w:eastAsia="Aptos" w:cs="Aptos"/>
        </w:rPr>
        <w:t xml:space="preserve"> for job seekers with disabilities</w:t>
      </w:r>
      <w:r w:rsidR="00AF235A" w:rsidRPr="003752CB">
        <w:rPr>
          <w:rFonts w:eastAsia="Aptos" w:cs="Aptos"/>
        </w:rPr>
        <w:t>,</w:t>
      </w:r>
      <w:r w:rsidR="00D6332F" w:rsidRPr="003752CB">
        <w:rPr>
          <w:rFonts w:eastAsia="Aptos" w:cs="Aptos"/>
        </w:rPr>
        <w:t xml:space="preserve"> </w:t>
      </w:r>
      <w:r w:rsidR="004B23D3" w:rsidRPr="003752CB">
        <w:rPr>
          <w:rFonts w:eastAsia="Aptos" w:cs="Aptos"/>
        </w:rPr>
        <w:t>especially young adults</w:t>
      </w:r>
      <w:r w:rsidR="0017165B" w:rsidRPr="003752CB">
        <w:rPr>
          <w:rStyle w:val="EndnoteReference"/>
          <w:rFonts w:eastAsia="Aptos" w:cs="Aptos"/>
        </w:rPr>
        <w:endnoteReference w:id="63"/>
      </w:r>
      <w:r w:rsidR="00BD0CED" w:rsidRPr="003752CB">
        <w:rPr>
          <w:rFonts w:eastAsia="Aptos" w:cs="Aptos"/>
        </w:rPr>
        <w:t>,</w:t>
      </w:r>
      <w:r w:rsidR="00BD0CED" w:rsidRPr="003752CB">
        <w:rPr>
          <w:rStyle w:val="EndnoteReference"/>
          <w:rFonts w:eastAsia="Aptos" w:cs="Aptos"/>
        </w:rPr>
        <w:endnoteReference w:id="64"/>
      </w:r>
      <w:r w:rsidR="007449B6" w:rsidRPr="003752CB">
        <w:rPr>
          <w:rFonts w:eastAsia="Aptos" w:cs="Aptos"/>
        </w:rPr>
        <w:t xml:space="preserve">, such as </w:t>
      </w:r>
      <w:r w:rsidR="004C689D" w:rsidRPr="003752CB">
        <w:rPr>
          <w:rFonts w:eastAsia="Aptos" w:cs="Aptos"/>
        </w:rPr>
        <w:t>supporting</w:t>
      </w:r>
      <w:r w:rsidR="007449B6" w:rsidRPr="003752CB">
        <w:rPr>
          <w:rFonts w:eastAsia="Aptos" w:cs="Aptos"/>
        </w:rPr>
        <w:t xml:space="preserve"> e</w:t>
      </w:r>
      <w:r w:rsidR="0034380C" w:rsidRPr="003752CB">
        <w:rPr>
          <w:rFonts w:eastAsia="Aptos" w:cs="Aptos"/>
        </w:rPr>
        <w:t xml:space="preserve">ducational attainment, career development, and social inclusion. </w:t>
      </w:r>
      <w:r w:rsidR="004C689D" w:rsidRPr="003752CB">
        <w:rPr>
          <w:rFonts w:eastAsia="Aptos" w:cs="Aptos"/>
        </w:rPr>
        <w:t>Other r</w:t>
      </w:r>
      <w:r w:rsidR="0034380C" w:rsidRPr="003752CB">
        <w:rPr>
          <w:rFonts w:eastAsia="Aptos" w:cs="Aptos"/>
        </w:rPr>
        <w:t>eported outcomes include increased self-confidence, a stronger sense of belonging, improved communication and personal relationships, goal setting and achievement, exploration of new career pathways, and enhanced learning and networking opportunities</w:t>
      </w:r>
      <w:r w:rsidR="00BD0CED" w:rsidRPr="003752CB">
        <w:rPr>
          <w:rStyle w:val="EndnoteReference"/>
          <w:rFonts w:eastAsia="Aptos" w:cs="Aptos"/>
        </w:rPr>
        <w:endnoteReference w:customMarkFollows="1" w:id="65"/>
        <w:t>51</w:t>
      </w:r>
      <w:r w:rsidR="0034380C" w:rsidRPr="003752CB">
        <w:rPr>
          <w:rFonts w:eastAsia="Aptos" w:cs="Aptos"/>
        </w:rPr>
        <w:t>.</w:t>
      </w:r>
    </w:p>
    <w:p w14:paraId="6EF39F1D" w14:textId="12AF7EA3" w:rsidR="00F77554" w:rsidRPr="003752CB" w:rsidRDefault="00F77554" w:rsidP="00417DC1">
      <w:pPr>
        <w:rPr>
          <w:rFonts w:eastAsia="Aptos" w:cs="Aptos"/>
        </w:rPr>
      </w:pPr>
      <w:r w:rsidRPr="003752CB">
        <w:rPr>
          <w:rFonts w:eastAsia="Aptos"/>
        </w:rPr>
        <w:t xml:space="preserve">Integrating </w:t>
      </w:r>
      <w:r w:rsidR="00CE52FF" w:rsidRPr="003752CB">
        <w:rPr>
          <w:rFonts w:eastAsia="Aptos"/>
        </w:rPr>
        <w:t xml:space="preserve">opportunities </w:t>
      </w:r>
      <w:r w:rsidRPr="003752CB">
        <w:rPr>
          <w:rFonts w:eastAsia="Aptos"/>
        </w:rPr>
        <w:t>for</w:t>
      </w:r>
      <w:r w:rsidR="00CE52FF" w:rsidRPr="003752CB">
        <w:rPr>
          <w:rFonts w:eastAsia="Aptos"/>
        </w:rPr>
        <w:t xml:space="preserve"> peer and professional connections can </w:t>
      </w:r>
      <w:r w:rsidR="00501A8B" w:rsidRPr="003752CB">
        <w:rPr>
          <w:rFonts w:eastAsia="Aptos"/>
        </w:rPr>
        <w:t>significantly</w:t>
      </w:r>
      <w:r w:rsidR="00CE52FF" w:rsidRPr="003752CB">
        <w:rPr>
          <w:rFonts w:eastAsia="Aptos"/>
        </w:rPr>
        <w:t xml:space="preserve"> enhance the learning experience </w:t>
      </w:r>
      <w:r w:rsidR="00501A8B" w:rsidRPr="003752CB">
        <w:rPr>
          <w:rFonts w:eastAsia="Aptos"/>
        </w:rPr>
        <w:t>in digital skills programs</w:t>
      </w:r>
      <w:r w:rsidR="00CE52FF" w:rsidRPr="003752CB">
        <w:rPr>
          <w:rFonts w:eastAsia="Aptos"/>
        </w:rPr>
        <w:t xml:space="preserve">. </w:t>
      </w:r>
      <w:r w:rsidR="000E07F8" w:rsidRPr="003752CB">
        <w:rPr>
          <w:rFonts w:eastAsia="Aptos" w:cs="Aptos"/>
        </w:rPr>
        <w:t>B</w:t>
      </w:r>
      <w:r w:rsidR="00407E04" w:rsidRPr="003752CB">
        <w:rPr>
          <w:rFonts w:eastAsia="Aptos" w:cs="Aptos"/>
        </w:rPr>
        <w:t>oth pe</w:t>
      </w:r>
      <w:r w:rsidR="001B352F" w:rsidRPr="003752CB">
        <w:rPr>
          <w:rFonts w:eastAsia="Aptos" w:cs="Aptos"/>
        </w:rPr>
        <w:t xml:space="preserve">ers </w:t>
      </w:r>
      <w:r w:rsidR="00407E04" w:rsidRPr="003752CB">
        <w:rPr>
          <w:rFonts w:eastAsia="Aptos" w:cs="Aptos"/>
        </w:rPr>
        <w:t xml:space="preserve">and </w:t>
      </w:r>
      <w:r w:rsidR="00C22E6C" w:rsidRPr="003752CB">
        <w:rPr>
          <w:rFonts w:eastAsia="Aptos" w:cs="Aptos"/>
        </w:rPr>
        <w:t xml:space="preserve">established career </w:t>
      </w:r>
      <w:r w:rsidR="00407E04" w:rsidRPr="003752CB">
        <w:rPr>
          <w:rFonts w:eastAsia="Aptos" w:cs="Aptos"/>
        </w:rPr>
        <w:t xml:space="preserve">mentors can provide </w:t>
      </w:r>
      <w:r w:rsidR="001B352F" w:rsidRPr="003752CB">
        <w:rPr>
          <w:rFonts w:eastAsia="Aptos" w:cs="Aptos"/>
        </w:rPr>
        <w:t>encouragement and shared lived experiences.</w:t>
      </w:r>
      <w:r w:rsidR="00407E04" w:rsidRPr="003752CB">
        <w:rPr>
          <w:rFonts w:eastAsia="Aptos" w:cs="Aptos"/>
        </w:rPr>
        <w:t xml:space="preserve"> </w:t>
      </w:r>
      <w:r w:rsidR="00F47391" w:rsidRPr="003752CB">
        <w:rPr>
          <w:rFonts w:eastAsia="Aptos" w:cs="Aptos"/>
        </w:rPr>
        <w:t xml:space="preserve">Employment service providers </w:t>
      </w:r>
      <w:r w:rsidR="00F539B7" w:rsidRPr="003752CB">
        <w:rPr>
          <w:rFonts w:eastAsia="Aptos" w:cs="Aptos"/>
        </w:rPr>
        <w:t xml:space="preserve">can facilitate </w:t>
      </w:r>
      <w:r w:rsidR="009052C5" w:rsidRPr="003752CB">
        <w:rPr>
          <w:rFonts w:eastAsia="Aptos" w:cs="Aptos"/>
        </w:rPr>
        <w:t>these opportunities by</w:t>
      </w:r>
      <w:r w:rsidR="00F47391" w:rsidRPr="003752CB">
        <w:rPr>
          <w:rFonts w:eastAsia="Aptos" w:cs="Aptos"/>
        </w:rPr>
        <w:t xml:space="preserve"> </w:t>
      </w:r>
      <w:r w:rsidR="009052C5" w:rsidRPr="003752CB">
        <w:rPr>
          <w:rFonts w:eastAsia="Aptos" w:cs="Aptos"/>
        </w:rPr>
        <w:t>offering platform</w:t>
      </w:r>
      <w:r w:rsidR="00F17787" w:rsidRPr="003752CB">
        <w:rPr>
          <w:rFonts w:eastAsia="Aptos" w:cs="Aptos"/>
        </w:rPr>
        <w:t>s for</w:t>
      </w:r>
      <w:r w:rsidR="009052C5" w:rsidRPr="003752CB">
        <w:rPr>
          <w:rFonts w:eastAsia="Aptos" w:cs="Aptos"/>
        </w:rPr>
        <w:t xml:space="preserve"> </w:t>
      </w:r>
      <w:r w:rsidR="00F47391" w:rsidRPr="003752CB">
        <w:rPr>
          <w:rFonts w:eastAsia="Aptos" w:cs="Aptos"/>
        </w:rPr>
        <w:t xml:space="preserve">persons with disabilities </w:t>
      </w:r>
      <w:r w:rsidR="00F17787" w:rsidRPr="003752CB">
        <w:rPr>
          <w:rFonts w:eastAsia="Aptos" w:cs="Aptos"/>
        </w:rPr>
        <w:t>to</w:t>
      </w:r>
      <w:r w:rsidR="009052C5" w:rsidRPr="003752CB">
        <w:rPr>
          <w:rFonts w:eastAsia="Aptos" w:cs="Aptos"/>
        </w:rPr>
        <w:t xml:space="preserve"> connect with peers and career</w:t>
      </w:r>
      <w:r w:rsidR="00F47391" w:rsidRPr="003752CB">
        <w:rPr>
          <w:rFonts w:eastAsia="Aptos" w:cs="Aptos"/>
        </w:rPr>
        <w:t xml:space="preserve"> mentors, </w:t>
      </w:r>
      <w:r w:rsidR="00F17787" w:rsidRPr="003752CB">
        <w:rPr>
          <w:rFonts w:eastAsia="Aptos" w:cs="Aptos"/>
        </w:rPr>
        <w:t xml:space="preserve">as well as working directly with mentors </w:t>
      </w:r>
      <w:r w:rsidR="001B352F" w:rsidRPr="003752CB">
        <w:rPr>
          <w:rFonts w:eastAsia="Aptos" w:cs="Aptos"/>
        </w:rPr>
        <w:t>to provide them with disability-inclusive resources and information.</w:t>
      </w:r>
    </w:p>
    <w:p w14:paraId="05BAB91B" w14:textId="203A4C83" w:rsidR="00F47391" w:rsidRPr="003752CB" w:rsidRDefault="00C82CBF" w:rsidP="001B4415">
      <w:pPr>
        <w:pStyle w:val="Heading3"/>
        <w:rPr>
          <w:rFonts w:eastAsia="Aptos"/>
        </w:rPr>
      </w:pPr>
      <w:r w:rsidRPr="003752CB">
        <w:rPr>
          <w:rFonts w:eastAsia="Aptos"/>
        </w:rPr>
        <w:t>Building Interconnected Skills</w:t>
      </w:r>
    </w:p>
    <w:p w14:paraId="675BF94D" w14:textId="1228B0F5" w:rsidR="00F47391" w:rsidRPr="003752CB" w:rsidRDefault="009D2B28" w:rsidP="00417DC1">
      <w:pPr>
        <w:rPr>
          <w:rFonts w:eastAsia="Aptos" w:cs="Aptos"/>
        </w:rPr>
      </w:pPr>
      <w:r w:rsidRPr="003752CB">
        <w:rPr>
          <w:rFonts w:eastAsia="Aptos" w:cs="Aptos"/>
        </w:rPr>
        <w:t xml:space="preserve">Canada’s Skills for Success framework emphasizes </w:t>
      </w:r>
      <w:r w:rsidR="00232364" w:rsidRPr="003752CB">
        <w:rPr>
          <w:rFonts w:eastAsia="Aptos" w:cs="Aptos"/>
        </w:rPr>
        <w:t>how core skills build upon each other</w:t>
      </w:r>
      <w:r w:rsidR="00A16D58" w:rsidRPr="003752CB">
        <w:rPr>
          <w:rFonts w:eastAsia="Aptos" w:cs="Aptos"/>
        </w:rPr>
        <w:t>, including technical skills like</w:t>
      </w:r>
      <w:r w:rsidR="006744AF" w:rsidRPr="003752CB">
        <w:rPr>
          <w:rFonts w:eastAsia="Aptos" w:cs="Aptos"/>
        </w:rPr>
        <w:t xml:space="preserve"> digital skills,</w:t>
      </w:r>
      <w:r w:rsidR="00A16D58" w:rsidRPr="003752CB">
        <w:rPr>
          <w:rFonts w:eastAsia="Aptos" w:cs="Aptos"/>
        </w:rPr>
        <w:t xml:space="preserve"> reading, writing, </w:t>
      </w:r>
      <w:r w:rsidR="006744AF" w:rsidRPr="003752CB">
        <w:rPr>
          <w:rFonts w:eastAsia="Aptos" w:cs="Aptos"/>
        </w:rPr>
        <w:t xml:space="preserve">and </w:t>
      </w:r>
      <w:r w:rsidR="00A16D58" w:rsidRPr="003752CB">
        <w:rPr>
          <w:rFonts w:eastAsia="Aptos" w:cs="Aptos"/>
        </w:rPr>
        <w:t>numeracy</w:t>
      </w:r>
      <w:r w:rsidR="006744AF" w:rsidRPr="003752CB">
        <w:rPr>
          <w:rFonts w:eastAsia="Aptos" w:cs="Aptos"/>
        </w:rPr>
        <w:t>, as well as t</w:t>
      </w:r>
      <w:r w:rsidR="00F47391" w:rsidRPr="003752CB">
        <w:rPr>
          <w:rFonts w:eastAsia="Aptos" w:cs="Aptos"/>
        </w:rPr>
        <w:t>ransferable skills </w:t>
      </w:r>
      <w:r w:rsidR="00C23364" w:rsidRPr="003752CB">
        <w:rPr>
          <w:rFonts w:eastAsia="Aptos" w:cs="Aptos"/>
        </w:rPr>
        <w:t xml:space="preserve">(or ‘soft skills’) like </w:t>
      </w:r>
      <w:r w:rsidR="00F47391" w:rsidRPr="003752CB">
        <w:rPr>
          <w:rFonts w:eastAsia="Aptos" w:cs="Aptos"/>
        </w:rPr>
        <w:t>adaptability, collaboration, communication, problem-solving,</w:t>
      </w:r>
      <w:r w:rsidR="006744AF" w:rsidRPr="003752CB">
        <w:rPr>
          <w:rFonts w:eastAsia="Aptos" w:cs="Aptos"/>
        </w:rPr>
        <w:t xml:space="preserve"> and</w:t>
      </w:r>
      <w:r w:rsidR="00F47391" w:rsidRPr="003752CB">
        <w:rPr>
          <w:rFonts w:eastAsia="Aptos" w:cs="Aptos"/>
        </w:rPr>
        <w:t xml:space="preserve"> creativity and innovation</w:t>
      </w:r>
      <w:r w:rsidR="006E7AD8" w:rsidRPr="003752CB">
        <w:rPr>
          <w:rStyle w:val="EndnoteReference"/>
          <w:rFonts w:eastAsia="Aptos" w:cs="Aptos"/>
        </w:rPr>
        <w:endnoteReference w:id="66"/>
      </w:r>
      <w:r w:rsidR="006744AF" w:rsidRPr="003752CB">
        <w:rPr>
          <w:rFonts w:eastAsia="Aptos" w:cs="Aptos"/>
        </w:rPr>
        <w:t>. All of these</w:t>
      </w:r>
      <w:r w:rsidR="00F47391" w:rsidRPr="003752CB">
        <w:rPr>
          <w:rFonts w:eastAsia="Aptos" w:cs="Aptos"/>
        </w:rPr>
        <w:t xml:space="preserve"> </w:t>
      </w:r>
      <w:r w:rsidR="006744AF" w:rsidRPr="003752CB">
        <w:rPr>
          <w:rFonts w:eastAsia="Aptos" w:cs="Aptos"/>
        </w:rPr>
        <w:t>are</w:t>
      </w:r>
      <w:r w:rsidR="00F47391" w:rsidRPr="003752CB">
        <w:rPr>
          <w:rFonts w:eastAsia="Aptos" w:cs="Aptos"/>
        </w:rPr>
        <w:t xml:space="preserve"> essential for navigating</w:t>
      </w:r>
      <w:r w:rsidR="006744AF" w:rsidRPr="003752CB">
        <w:rPr>
          <w:rFonts w:eastAsia="Aptos" w:cs="Aptos"/>
        </w:rPr>
        <w:t xml:space="preserve"> digital environments and </w:t>
      </w:r>
      <w:r w:rsidR="000F4F91" w:rsidRPr="003752CB">
        <w:rPr>
          <w:rFonts w:eastAsia="Aptos" w:cs="Aptos"/>
        </w:rPr>
        <w:t>today’s workplaces</w:t>
      </w:r>
      <w:r w:rsidR="00F47391" w:rsidRPr="003752CB">
        <w:rPr>
          <w:rFonts w:eastAsia="Aptos" w:cs="Aptos"/>
        </w:rPr>
        <w:t xml:space="preserve">. </w:t>
      </w:r>
      <w:r w:rsidR="000F4F91" w:rsidRPr="003752CB">
        <w:rPr>
          <w:rFonts w:eastAsia="Aptos" w:cs="Aptos"/>
        </w:rPr>
        <w:t>Additionally, as AI tools and automati</w:t>
      </w:r>
      <w:r w:rsidR="000D4CB4" w:rsidRPr="003752CB">
        <w:rPr>
          <w:rFonts w:eastAsia="Aptos" w:cs="Aptos"/>
        </w:rPr>
        <w:t>on</w:t>
      </w:r>
      <w:r w:rsidR="000F4F91" w:rsidRPr="003752CB">
        <w:rPr>
          <w:rFonts w:eastAsia="Aptos" w:cs="Aptos"/>
        </w:rPr>
        <w:t xml:space="preserve"> become increasingly prevalent, the value of </w:t>
      </w:r>
      <w:r w:rsidR="00535647" w:rsidRPr="003752CB">
        <w:rPr>
          <w:rFonts w:eastAsia="Aptos" w:cs="Aptos"/>
        </w:rPr>
        <w:t>human skills</w:t>
      </w:r>
      <w:r w:rsidR="000D4CB4" w:rsidRPr="003752CB">
        <w:rPr>
          <w:rFonts w:eastAsia="Aptos" w:cs="Aptos"/>
        </w:rPr>
        <w:t xml:space="preserve"> like creativity and collaboration – skills that AI </w:t>
      </w:r>
      <w:r w:rsidR="00D4148E" w:rsidRPr="003752CB">
        <w:rPr>
          <w:rFonts w:eastAsia="Aptos" w:cs="Aptos"/>
        </w:rPr>
        <w:t xml:space="preserve">technologies </w:t>
      </w:r>
      <w:r w:rsidR="000D4CB4" w:rsidRPr="003752CB">
        <w:rPr>
          <w:rFonts w:eastAsia="Aptos" w:cs="Aptos"/>
        </w:rPr>
        <w:t>cannot yet replace – are even more valuable.</w:t>
      </w:r>
      <w:r w:rsidR="00A628CC" w:rsidRPr="003752CB">
        <w:rPr>
          <w:rFonts w:eastAsia="Aptos" w:cs="Aptos"/>
        </w:rPr>
        <w:t xml:space="preserve"> With employers becoming more aware of what AI tools </w:t>
      </w:r>
      <w:r w:rsidR="00A628CC" w:rsidRPr="003752CB">
        <w:rPr>
          <w:rFonts w:eastAsia="Aptos" w:cs="Aptos"/>
          <w:i/>
          <w:iCs/>
        </w:rPr>
        <w:t xml:space="preserve">cannot </w:t>
      </w:r>
      <w:r w:rsidR="00A628CC" w:rsidRPr="003752CB">
        <w:rPr>
          <w:rFonts w:eastAsia="Aptos" w:cs="Aptos"/>
        </w:rPr>
        <w:t xml:space="preserve">do, </w:t>
      </w:r>
      <w:r w:rsidR="00136AA8" w:rsidRPr="003752CB">
        <w:rPr>
          <w:rFonts w:eastAsia="Aptos" w:cs="Aptos"/>
        </w:rPr>
        <w:t>the most competitive workers are those w</w:t>
      </w:r>
      <w:r w:rsidR="004A3E2A" w:rsidRPr="003752CB">
        <w:rPr>
          <w:rFonts w:eastAsia="Aptos" w:cs="Aptos"/>
        </w:rPr>
        <w:t>ho can integrate soft skills and AI literacy</w:t>
      </w:r>
      <w:r w:rsidR="005469E3" w:rsidRPr="003752CB">
        <w:rPr>
          <w:rStyle w:val="EndnoteReference"/>
          <w:rFonts w:eastAsia="Aptos" w:cs="Aptos"/>
        </w:rPr>
        <w:endnoteReference w:id="67"/>
      </w:r>
      <w:r w:rsidR="004A3E2A" w:rsidRPr="003752CB">
        <w:rPr>
          <w:rFonts w:eastAsia="Aptos" w:cs="Aptos"/>
        </w:rPr>
        <w:t>.</w:t>
      </w:r>
    </w:p>
    <w:p w14:paraId="4E77FD87" w14:textId="681B98C3" w:rsidR="00F47391" w:rsidRPr="003752CB" w:rsidRDefault="00F47391" w:rsidP="00417DC1">
      <w:pPr>
        <w:rPr>
          <w:rFonts w:eastAsia="Aptos" w:cs="Aptos"/>
        </w:rPr>
      </w:pPr>
      <w:r w:rsidRPr="003752CB">
        <w:rPr>
          <w:rFonts w:eastAsia="Aptos" w:cs="Aptos"/>
        </w:rPr>
        <w:t>Research shows that integrating both technical and transferable skills into digital</w:t>
      </w:r>
      <w:r w:rsidR="00260F85" w:rsidRPr="003752CB">
        <w:rPr>
          <w:rFonts w:eastAsia="Aptos" w:cs="Aptos"/>
        </w:rPr>
        <w:t xml:space="preserve"> skills</w:t>
      </w:r>
      <w:r w:rsidRPr="003752CB">
        <w:rPr>
          <w:rFonts w:eastAsia="Aptos" w:cs="Aptos"/>
        </w:rPr>
        <w:t xml:space="preserve"> programs lead to more meaningful learning outcomes. Learners </w:t>
      </w:r>
      <w:r w:rsidR="00C82CBF" w:rsidRPr="003752CB">
        <w:rPr>
          <w:rFonts w:eastAsia="Aptos" w:cs="Aptos"/>
        </w:rPr>
        <w:t>become</w:t>
      </w:r>
      <w:r w:rsidRPr="003752CB">
        <w:rPr>
          <w:rFonts w:eastAsia="Aptos" w:cs="Aptos"/>
        </w:rPr>
        <w:t xml:space="preserve"> better equipped to apply their knowledge in real-world contexts, adapt to new technologies, and participate fully in digital society</w:t>
      </w:r>
      <w:r w:rsidR="00E771E8" w:rsidRPr="003752CB">
        <w:rPr>
          <w:rFonts w:eastAsia="Aptos" w:cs="Aptos"/>
        </w:rPr>
        <w:t>.</w:t>
      </w:r>
    </w:p>
    <w:p w14:paraId="381D5097" w14:textId="77777777" w:rsidR="00F47391" w:rsidRPr="003752CB" w:rsidRDefault="00F47391" w:rsidP="001B4415">
      <w:pPr>
        <w:pStyle w:val="Heading3"/>
        <w:rPr>
          <w:rFonts w:eastAsia="Aptos"/>
        </w:rPr>
      </w:pPr>
      <w:r w:rsidRPr="003752CB">
        <w:rPr>
          <w:rFonts w:eastAsia="Aptos"/>
        </w:rPr>
        <w:t xml:space="preserve">Hands-on Practical Learning Experiences </w:t>
      </w:r>
    </w:p>
    <w:p w14:paraId="57A98539" w14:textId="073D8B6F" w:rsidR="00F47391" w:rsidRPr="003752CB" w:rsidRDefault="00F47391" w:rsidP="00417DC1">
      <w:pPr>
        <w:rPr>
          <w:rFonts w:eastAsia="Aptos" w:cs="Aptos"/>
        </w:rPr>
      </w:pPr>
      <w:r w:rsidRPr="003752CB">
        <w:rPr>
          <w:rFonts w:eastAsia="Aptos" w:cs="Aptos"/>
        </w:rPr>
        <w:t xml:space="preserve">Research consistently demonstrates that experiential, applied </w:t>
      </w:r>
      <w:r w:rsidR="00602513" w:rsidRPr="003752CB">
        <w:rPr>
          <w:rFonts w:eastAsia="Aptos" w:cs="Aptos"/>
        </w:rPr>
        <w:t>approaches</w:t>
      </w:r>
      <w:r w:rsidR="004C689D" w:rsidRPr="003752CB">
        <w:rPr>
          <w:rFonts w:eastAsia="Aptos" w:cs="Aptos"/>
        </w:rPr>
        <w:t xml:space="preserve"> </w:t>
      </w:r>
      <w:r w:rsidRPr="003752CB">
        <w:rPr>
          <w:rFonts w:eastAsia="Aptos" w:cs="Aptos"/>
        </w:rPr>
        <w:t xml:space="preserve">where learners </w:t>
      </w:r>
      <w:r w:rsidR="00602513" w:rsidRPr="003752CB">
        <w:rPr>
          <w:rFonts w:eastAsia="Aptos" w:cs="Aptos"/>
        </w:rPr>
        <w:t xml:space="preserve">use </w:t>
      </w:r>
      <w:r w:rsidRPr="003752CB">
        <w:rPr>
          <w:rFonts w:eastAsia="Aptos" w:cs="Aptos"/>
        </w:rPr>
        <w:t xml:space="preserve">digital tools </w:t>
      </w:r>
      <w:r w:rsidR="00602513" w:rsidRPr="003752CB">
        <w:rPr>
          <w:rFonts w:eastAsia="Aptos" w:cs="Aptos"/>
        </w:rPr>
        <w:t>in</w:t>
      </w:r>
      <w:r w:rsidRPr="003752CB">
        <w:rPr>
          <w:rFonts w:eastAsia="Aptos" w:cs="Aptos"/>
        </w:rPr>
        <w:t xml:space="preserve"> real-world scenarios</w:t>
      </w:r>
      <w:r w:rsidR="004C689D" w:rsidRPr="003752CB">
        <w:rPr>
          <w:rFonts w:eastAsia="Aptos" w:cs="Aptos"/>
        </w:rPr>
        <w:t xml:space="preserve"> </w:t>
      </w:r>
      <w:r w:rsidRPr="003752CB">
        <w:rPr>
          <w:rFonts w:eastAsia="Aptos" w:cs="Aptos"/>
        </w:rPr>
        <w:t xml:space="preserve">are significantly more effective than passive, </w:t>
      </w:r>
      <w:r w:rsidRPr="003752CB">
        <w:rPr>
          <w:rFonts w:eastAsia="Aptos" w:cs="Aptos"/>
        </w:rPr>
        <w:lastRenderedPageBreak/>
        <w:t>lecture-based approaches</w:t>
      </w:r>
      <w:r w:rsidR="00E37725" w:rsidRPr="003752CB">
        <w:rPr>
          <w:rStyle w:val="EndnoteReference"/>
          <w:rFonts w:eastAsia="Aptos" w:cs="Aptos"/>
        </w:rPr>
        <w:endnoteReference w:id="68"/>
      </w:r>
      <w:r w:rsidRPr="003752CB">
        <w:rPr>
          <w:rFonts w:eastAsia="Aptos" w:cs="Aptos"/>
        </w:rPr>
        <w:t xml:space="preserve">. These methods </w:t>
      </w:r>
      <w:r w:rsidR="00602513" w:rsidRPr="003752CB">
        <w:rPr>
          <w:rFonts w:eastAsia="Aptos" w:cs="Aptos"/>
        </w:rPr>
        <w:t>make</w:t>
      </w:r>
      <w:r w:rsidRPr="003752CB">
        <w:rPr>
          <w:rFonts w:eastAsia="Aptos" w:cs="Aptos"/>
        </w:rPr>
        <w:t xml:space="preserve"> learner</w:t>
      </w:r>
      <w:r w:rsidR="00602513" w:rsidRPr="003752CB">
        <w:rPr>
          <w:rFonts w:eastAsia="Aptos" w:cs="Aptos"/>
        </w:rPr>
        <w:t>s more confident,</w:t>
      </w:r>
      <w:r w:rsidRPr="003752CB">
        <w:rPr>
          <w:rFonts w:eastAsia="Aptos" w:cs="Aptos"/>
        </w:rPr>
        <w:t xml:space="preserve"> </w:t>
      </w:r>
      <w:r w:rsidR="00602513" w:rsidRPr="003752CB">
        <w:rPr>
          <w:rFonts w:eastAsia="Aptos" w:cs="Aptos"/>
        </w:rPr>
        <w:t>independent, and improve</w:t>
      </w:r>
      <w:r w:rsidRPr="003752CB">
        <w:rPr>
          <w:rFonts w:eastAsia="Aptos" w:cs="Aptos"/>
        </w:rPr>
        <w:t xml:space="preserve"> long-term retention</w:t>
      </w:r>
      <w:r w:rsidR="00A022F9" w:rsidRPr="003752CB">
        <w:rPr>
          <w:rStyle w:val="EndnoteReference"/>
          <w:rFonts w:eastAsia="Aptos" w:cs="Aptos"/>
        </w:rPr>
        <w:endnoteReference w:id="69"/>
      </w:r>
      <w:r w:rsidRPr="003752CB">
        <w:rPr>
          <w:rFonts w:eastAsia="Aptos" w:cs="Aptos"/>
        </w:rPr>
        <w:t>.</w:t>
      </w:r>
    </w:p>
    <w:p w14:paraId="3838CE66" w14:textId="7625FE49" w:rsidR="00553958" w:rsidRPr="003752CB" w:rsidRDefault="00F47391" w:rsidP="00417DC1">
      <w:pPr>
        <w:rPr>
          <w:rFonts w:eastAsia="Aptos" w:cs="Aptos"/>
        </w:rPr>
      </w:pPr>
      <w:r w:rsidRPr="003752CB">
        <w:rPr>
          <w:rFonts w:eastAsia="Aptos" w:cs="Aptos"/>
        </w:rPr>
        <w:t xml:space="preserve">For service providers, this means designing training programs that go beyond theoretical instruction. Interactive workshops, guided practice sessions, and project-based learning allow participants to build digital </w:t>
      </w:r>
      <w:r w:rsidR="00DE5BF2" w:rsidRPr="003752CB">
        <w:rPr>
          <w:rFonts w:eastAsia="Aptos" w:cs="Aptos"/>
        </w:rPr>
        <w:t>skills in the settings where they will use them</w:t>
      </w:r>
      <w:r w:rsidRPr="003752CB">
        <w:rPr>
          <w:rFonts w:eastAsia="Aptos" w:cs="Aptos"/>
        </w:rPr>
        <w:t>.</w:t>
      </w:r>
      <w:r w:rsidR="00D1086B" w:rsidRPr="003752CB">
        <w:rPr>
          <w:rFonts w:eastAsia="Aptos" w:cs="Aptos"/>
        </w:rPr>
        <w:t xml:space="preserve"> </w:t>
      </w:r>
      <w:r w:rsidR="00553958" w:rsidRPr="003752CB">
        <w:rPr>
          <w:rFonts w:eastAsia="Aptos" w:cs="Aptos"/>
        </w:rPr>
        <w:t xml:space="preserve">For example, learners can collaboratively use resume optimization tools like </w:t>
      </w:r>
      <w:proofErr w:type="spellStart"/>
      <w:r w:rsidR="00553958" w:rsidRPr="003752CB">
        <w:rPr>
          <w:rFonts w:eastAsia="Aptos" w:cs="Aptos"/>
        </w:rPr>
        <w:t>Job</w:t>
      </w:r>
      <w:r w:rsidR="004C689D" w:rsidRPr="003752CB">
        <w:rPr>
          <w:rFonts w:eastAsia="Aptos" w:cs="Aptos"/>
        </w:rPr>
        <w:t>S</w:t>
      </w:r>
      <w:r w:rsidR="00553958" w:rsidRPr="003752CB">
        <w:rPr>
          <w:rFonts w:eastAsia="Aptos" w:cs="Aptos"/>
        </w:rPr>
        <w:t>can</w:t>
      </w:r>
      <w:proofErr w:type="spellEnd"/>
      <w:r w:rsidR="00553958" w:rsidRPr="003752CB">
        <w:rPr>
          <w:rFonts w:eastAsia="Aptos" w:cs="Aptos"/>
        </w:rPr>
        <w:t xml:space="preserve"> in group settings, co-develop and present digital literacy modules to practice facilitation and research skills, or engage in gamified digital safety challenges where they compete to identify and respond to online threats. These approaches not only reinforce technical skills but also foster peer learning, critical thinking, and adaptability</w:t>
      </w:r>
      <w:r w:rsidR="00CA4D1A" w:rsidRPr="003752CB">
        <w:rPr>
          <w:rFonts w:eastAsia="Aptos" w:cs="Aptos"/>
        </w:rPr>
        <w:t xml:space="preserve"> –</w:t>
      </w:r>
      <w:r w:rsidR="00D1086B" w:rsidRPr="003752CB">
        <w:rPr>
          <w:rFonts w:eastAsia="Aptos" w:cs="Aptos"/>
        </w:rPr>
        <w:t xml:space="preserve"> </w:t>
      </w:r>
      <w:r w:rsidR="00553958" w:rsidRPr="003752CB">
        <w:rPr>
          <w:rFonts w:eastAsia="Aptos" w:cs="Aptos"/>
        </w:rPr>
        <w:t>key traits for navigating the evolving digital landscape. Facilitators play a central role in shaping these experiences, acting as guides, collaborators, and co-learners who help build trust and relevance throughout the learning journey.</w:t>
      </w:r>
    </w:p>
    <w:p w14:paraId="7015A720" w14:textId="77777777" w:rsidR="00F47391" w:rsidRPr="003752CB" w:rsidRDefault="00F47391" w:rsidP="001B4415">
      <w:pPr>
        <w:pStyle w:val="Heading3"/>
        <w:rPr>
          <w:rFonts w:eastAsia="Aptos"/>
        </w:rPr>
      </w:pPr>
      <w:r w:rsidRPr="003752CB">
        <w:rPr>
          <w:rFonts w:eastAsia="Aptos"/>
        </w:rPr>
        <w:t>Scaffolded, Modular Program Design</w:t>
      </w:r>
    </w:p>
    <w:p w14:paraId="7D651C9E" w14:textId="1D40629B" w:rsidR="00FA0D7D" w:rsidRPr="003752CB" w:rsidRDefault="001E7C4A" w:rsidP="00417DC1">
      <w:pPr>
        <w:rPr>
          <w:rFonts w:eastAsia="Aptos" w:cs="Aptos"/>
        </w:rPr>
      </w:pPr>
      <w:r w:rsidRPr="003752CB">
        <w:rPr>
          <w:rFonts w:eastAsia="Aptos" w:cs="Aptos"/>
        </w:rPr>
        <w:t xml:space="preserve">Effective </w:t>
      </w:r>
      <w:r w:rsidR="00113890" w:rsidRPr="003752CB">
        <w:rPr>
          <w:rFonts w:eastAsia="Aptos" w:cs="Aptos"/>
        </w:rPr>
        <w:t xml:space="preserve">skills training uses </w:t>
      </w:r>
      <w:r w:rsidR="00113890" w:rsidRPr="003752CB">
        <w:rPr>
          <w:rFonts w:eastAsia="Aptos" w:cs="Aptos"/>
          <w:b/>
          <w:bCs/>
        </w:rPr>
        <w:t xml:space="preserve">scaffolding </w:t>
      </w:r>
      <w:r w:rsidR="00113890" w:rsidRPr="003752CB">
        <w:rPr>
          <w:rFonts w:eastAsia="Aptos" w:cs="Aptos"/>
        </w:rPr>
        <w:t>(step-by-step</w:t>
      </w:r>
      <w:r w:rsidR="00A86086" w:rsidRPr="003752CB">
        <w:rPr>
          <w:rFonts w:eastAsia="Aptos" w:cs="Aptos"/>
        </w:rPr>
        <w:t xml:space="preserve"> </w:t>
      </w:r>
      <w:r w:rsidR="00280120" w:rsidRPr="003752CB">
        <w:rPr>
          <w:rFonts w:eastAsia="Aptos" w:cs="Aptos"/>
        </w:rPr>
        <w:t xml:space="preserve">learning plans </w:t>
      </w:r>
      <w:r w:rsidR="00DF1ED3" w:rsidRPr="003752CB">
        <w:rPr>
          <w:rFonts w:eastAsia="Aptos" w:cs="Aptos"/>
        </w:rPr>
        <w:t xml:space="preserve">where the instructor gradually provides less guidance) and </w:t>
      </w:r>
      <w:r w:rsidR="00DF1ED3" w:rsidRPr="003752CB">
        <w:rPr>
          <w:rFonts w:eastAsia="Aptos" w:cs="Aptos"/>
          <w:b/>
          <w:bCs/>
        </w:rPr>
        <w:t xml:space="preserve">modular design </w:t>
      </w:r>
      <w:r w:rsidR="00DF1ED3" w:rsidRPr="003752CB">
        <w:rPr>
          <w:rFonts w:eastAsia="Aptos" w:cs="Aptos"/>
        </w:rPr>
        <w:t>(</w:t>
      </w:r>
      <w:r w:rsidR="00A86086" w:rsidRPr="003752CB">
        <w:rPr>
          <w:rFonts w:eastAsia="Aptos" w:cs="Aptos"/>
        </w:rPr>
        <w:t xml:space="preserve">learning units are </w:t>
      </w:r>
      <w:r w:rsidR="00D540BA" w:rsidRPr="003752CB">
        <w:rPr>
          <w:rFonts w:eastAsia="Aptos" w:cs="Aptos"/>
        </w:rPr>
        <w:t xml:space="preserve">separate, </w:t>
      </w:r>
      <w:r w:rsidR="007C0F34" w:rsidRPr="003752CB">
        <w:rPr>
          <w:rFonts w:eastAsia="Aptos" w:cs="Aptos"/>
        </w:rPr>
        <w:t>self-contained</w:t>
      </w:r>
      <w:r w:rsidR="00D540BA" w:rsidRPr="003752CB">
        <w:rPr>
          <w:rFonts w:eastAsia="Aptos" w:cs="Aptos"/>
        </w:rPr>
        <w:t xml:space="preserve"> ‘modules’ that can be combined and personalized)</w:t>
      </w:r>
      <w:r w:rsidR="00094C0C" w:rsidRPr="003752CB">
        <w:rPr>
          <w:rStyle w:val="EndnoteReference"/>
          <w:rFonts w:eastAsia="Aptos" w:cs="Aptos"/>
        </w:rPr>
        <w:endnoteReference w:id="70"/>
      </w:r>
      <w:r w:rsidR="00CE27B2" w:rsidRPr="003752CB">
        <w:rPr>
          <w:rFonts w:eastAsia="Aptos" w:cs="Aptos"/>
        </w:rPr>
        <w:t>,</w:t>
      </w:r>
      <w:r w:rsidR="00CE27B2" w:rsidRPr="003752CB">
        <w:rPr>
          <w:rStyle w:val="EndnoteReference"/>
          <w:rFonts w:eastAsia="Aptos" w:cs="Aptos"/>
        </w:rPr>
        <w:endnoteReference w:id="71"/>
      </w:r>
      <w:r w:rsidR="00F47391" w:rsidRPr="003752CB">
        <w:rPr>
          <w:rFonts w:eastAsia="Aptos" w:cs="Aptos"/>
        </w:rPr>
        <w:t>. These instructional designs break down complex digital competencies into manageable, sequential units, allowing learners to build confidence and mastery</w:t>
      </w:r>
      <w:r w:rsidR="00B50013" w:rsidRPr="003752CB">
        <w:rPr>
          <w:rStyle w:val="EndnoteReference"/>
          <w:rFonts w:eastAsia="Aptos" w:cs="Aptos"/>
        </w:rPr>
        <w:endnoteReference w:customMarkFollows="1" w:id="72"/>
        <w:t>56</w:t>
      </w:r>
      <w:r w:rsidR="00F47391" w:rsidRPr="003752CB">
        <w:rPr>
          <w:rFonts w:eastAsia="Aptos" w:cs="Aptos"/>
        </w:rPr>
        <w:t>.</w:t>
      </w:r>
      <w:r w:rsidR="00797E76" w:rsidRPr="003752CB">
        <w:rPr>
          <w:rFonts w:eastAsia="Aptos" w:cs="Aptos"/>
        </w:rPr>
        <w:t xml:space="preserve"> </w:t>
      </w:r>
      <w:r w:rsidR="00335C45" w:rsidRPr="003752CB">
        <w:rPr>
          <w:rFonts w:eastAsia="Aptos" w:cs="Aptos"/>
        </w:rPr>
        <w:t>In other words</w:t>
      </w:r>
      <w:r w:rsidR="00FA0D7D" w:rsidRPr="003752CB">
        <w:rPr>
          <w:rFonts w:eastAsia="Aptos" w:cs="Aptos"/>
        </w:rPr>
        <w:t>, learning is structured progressively, beginning with foundational digital skills and gradually building toward more complex competencies. By organizing content into interconnected modules or building blocks, learners can deepen their understanding and see how skills relate to one another. This approach supports holistic, practical proficiency and helps learners apply digital skills in real-world contexts.</w:t>
      </w:r>
    </w:p>
    <w:p w14:paraId="0A30334D" w14:textId="2389605A" w:rsidR="00A34A8D" w:rsidRPr="003752CB" w:rsidRDefault="00F47391" w:rsidP="00417DC1">
      <w:pPr>
        <w:rPr>
          <w:rFonts w:eastAsia="Aptos" w:cs="Aptos"/>
        </w:rPr>
      </w:pPr>
      <w:r w:rsidRPr="003752CB">
        <w:rPr>
          <w:rFonts w:eastAsia="Aptos" w:cs="Aptos"/>
        </w:rPr>
        <w:t>For service providers, implementing scaffolded learning means designing programs where each module builds on the last, with clear learning objectives, accessible materials, and opportunities for guided practice</w:t>
      </w:r>
      <w:r w:rsidR="00563C72" w:rsidRPr="003752CB">
        <w:rPr>
          <w:rStyle w:val="EndnoteReference"/>
          <w:rFonts w:eastAsia="Aptos" w:cs="Aptos"/>
        </w:rPr>
        <w:endnoteReference w:id="73"/>
      </w:r>
      <w:r w:rsidRPr="003752CB">
        <w:rPr>
          <w:rFonts w:eastAsia="Aptos" w:cs="Aptos"/>
        </w:rPr>
        <w:t>. This structure allows learners to progress at their own pace, revisit foundational concepts as needed, and experience a sense of achievement at each stage</w:t>
      </w:r>
      <w:r w:rsidR="0053275B" w:rsidRPr="003752CB">
        <w:rPr>
          <w:rStyle w:val="EndnoteReference"/>
          <w:rFonts w:eastAsia="Aptos" w:cs="Aptos"/>
        </w:rPr>
        <w:endnoteReference w:id="74"/>
      </w:r>
      <w:r w:rsidR="009963F1" w:rsidRPr="003752CB">
        <w:rPr>
          <w:rFonts w:eastAsia="Aptos" w:cs="Aptos"/>
        </w:rPr>
        <w:t>,</w:t>
      </w:r>
      <w:r w:rsidR="009963F1" w:rsidRPr="003752CB">
        <w:rPr>
          <w:rStyle w:val="EndnoteReference"/>
          <w:rFonts w:eastAsia="Aptos" w:cs="Aptos"/>
        </w:rPr>
        <w:endnoteReference w:id="75"/>
      </w:r>
      <w:r w:rsidRPr="003752CB">
        <w:rPr>
          <w:rFonts w:eastAsia="Aptos" w:cs="Aptos"/>
        </w:rPr>
        <w:t>. Modular design also enables customization and personalization, making it easier to adapt content to individual learning styles, assistive technologies, and support needs</w:t>
      </w:r>
      <w:r w:rsidR="0029319E" w:rsidRPr="003752CB">
        <w:rPr>
          <w:rStyle w:val="EndnoteReference"/>
          <w:rFonts w:eastAsia="Aptos" w:cs="Aptos"/>
        </w:rPr>
        <w:endnoteReference w:id="76"/>
      </w:r>
      <w:r w:rsidR="002D22F7" w:rsidRPr="003752CB">
        <w:rPr>
          <w:rFonts w:eastAsia="Aptos" w:cs="Aptos"/>
        </w:rPr>
        <w:t>,</w:t>
      </w:r>
      <w:r w:rsidR="002D22F7" w:rsidRPr="003752CB">
        <w:rPr>
          <w:rStyle w:val="EndnoteReference"/>
          <w:rFonts w:eastAsia="Aptos" w:cs="Aptos"/>
        </w:rPr>
        <w:endnoteReference w:id="77"/>
      </w:r>
      <w:r w:rsidRPr="003752CB">
        <w:rPr>
          <w:rFonts w:eastAsia="Aptos" w:cs="Aptos"/>
        </w:rPr>
        <w:t>.</w:t>
      </w:r>
    </w:p>
    <w:p w14:paraId="5D0B6223" w14:textId="7D25B48D" w:rsidR="00F47391" w:rsidRPr="003752CB" w:rsidRDefault="00F47391" w:rsidP="001B4415">
      <w:pPr>
        <w:pStyle w:val="Heading3"/>
        <w:rPr>
          <w:rFonts w:eastAsia="Aptos"/>
        </w:rPr>
      </w:pPr>
      <w:r w:rsidRPr="003752CB">
        <w:rPr>
          <w:rFonts w:eastAsia="Aptos"/>
        </w:rPr>
        <w:t xml:space="preserve">Empowered Instructors and </w:t>
      </w:r>
      <w:r w:rsidR="00BE791D" w:rsidRPr="003752CB">
        <w:rPr>
          <w:rFonts w:eastAsia="Aptos"/>
        </w:rPr>
        <w:t>Facilitators</w:t>
      </w:r>
    </w:p>
    <w:p w14:paraId="36973189" w14:textId="68CCD759" w:rsidR="00C76FEC" w:rsidRPr="003752CB" w:rsidRDefault="00F47391" w:rsidP="00E432DD">
      <w:pPr>
        <w:rPr>
          <w:rFonts w:eastAsia="Aptos" w:cs="Aptos"/>
        </w:rPr>
      </w:pPr>
      <w:r w:rsidRPr="003752CB">
        <w:rPr>
          <w:rFonts w:eastAsia="Aptos" w:cs="Aptos"/>
        </w:rPr>
        <w:t>Service providers are community connectors</w:t>
      </w:r>
      <w:r w:rsidR="00E75ED5" w:rsidRPr="003752CB">
        <w:rPr>
          <w:rFonts w:eastAsia="Aptos" w:cs="Aptos"/>
        </w:rPr>
        <w:t xml:space="preserve"> and</w:t>
      </w:r>
      <w:r w:rsidRPr="003752CB">
        <w:rPr>
          <w:rFonts w:eastAsia="Aptos" w:cs="Aptos"/>
        </w:rPr>
        <w:t xml:space="preserve"> advocates</w:t>
      </w:r>
      <w:r w:rsidR="00E75ED5" w:rsidRPr="003752CB">
        <w:rPr>
          <w:rFonts w:eastAsia="Aptos" w:cs="Aptos"/>
        </w:rPr>
        <w:t xml:space="preserve"> who can bridge the divide between job seekers, skill development opportunities, and employers</w:t>
      </w:r>
      <w:r w:rsidR="006E6851" w:rsidRPr="003752CB">
        <w:rPr>
          <w:rStyle w:val="EndnoteReference"/>
          <w:rFonts w:eastAsia="Aptos" w:cs="Aptos"/>
        </w:rPr>
        <w:endnoteReference w:id="78"/>
      </w:r>
      <w:r w:rsidRPr="003752CB">
        <w:rPr>
          <w:rFonts w:eastAsia="Aptos" w:cs="Aptos"/>
        </w:rPr>
        <w:t>. To fulfill this role effectively, they must be equipped not only with foundational teaching skills, but</w:t>
      </w:r>
      <w:r w:rsidR="00855EAA" w:rsidRPr="003752CB">
        <w:rPr>
          <w:rFonts w:eastAsia="Aptos" w:cs="Aptos"/>
        </w:rPr>
        <w:t xml:space="preserve"> they must </w:t>
      </w:r>
      <w:r w:rsidR="00855EAA" w:rsidRPr="003752CB">
        <w:rPr>
          <w:rFonts w:eastAsia="Aptos" w:cs="Aptos"/>
        </w:rPr>
        <w:lastRenderedPageBreak/>
        <w:t xml:space="preserve">also keep their knowledge base </w:t>
      </w:r>
      <w:r w:rsidR="009871B4" w:rsidRPr="003752CB">
        <w:rPr>
          <w:rFonts w:eastAsia="Aptos" w:cs="Aptos"/>
        </w:rPr>
        <w:t>up to date</w:t>
      </w:r>
      <w:r w:rsidR="00286B8C" w:rsidRPr="003752CB">
        <w:rPr>
          <w:rStyle w:val="EndnoteReference"/>
          <w:rFonts w:eastAsia="Aptos" w:cs="Aptos"/>
        </w:rPr>
        <w:endnoteReference w:id="79"/>
      </w:r>
      <w:r w:rsidRPr="003752CB">
        <w:rPr>
          <w:rFonts w:eastAsia="Aptos" w:cs="Aptos"/>
        </w:rPr>
        <w:t xml:space="preserve">.  </w:t>
      </w:r>
      <w:r w:rsidR="00DB358D" w:rsidRPr="003752CB">
        <w:rPr>
          <w:rFonts w:eastAsia="Aptos" w:cs="Aptos"/>
        </w:rPr>
        <w:t>This</w:t>
      </w:r>
      <w:r w:rsidRPr="003752CB">
        <w:rPr>
          <w:rFonts w:eastAsia="Aptos" w:cs="Aptos"/>
        </w:rPr>
        <w:t xml:space="preserve"> means </w:t>
      </w:r>
      <w:r w:rsidR="006D7784" w:rsidRPr="003752CB">
        <w:rPr>
          <w:rFonts w:eastAsia="Aptos" w:cs="Aptos"/>
        </w:rPr>
        <w:t>participating in</w:t>
      </w:r>
      <w:r w:rsidRPr="003752CB">
        <w:rPr>
          <w:rFonts w:eastAsia="Aptos" w:cs="Aptos"/>
        </w:rPr>
        <w:t xml:space="preserve"> ongoing professional development, </w:t>
      </w:r>
      <w:r w:rsidR="006D7784" w:rsidRPr="003752CB">
        <w:rPr>
          <w:rFonts w:eastAsia="Aptos" w:cs="Aptos"/>
        </w:rPr>
        <w:t>using</w:t>
      </w:r>
      <w:r w:rsidRPr="003752CB">
        <w:rPr>
          <w:rFonts w:eastAsia="Aptos" w:cs="Aptos"/>
        </w:rPr>
        <w:t xml:space="preserve"> adaptive teaching strategies like UDL, and</w:t>
      </w:r>
      <w:r w:rsidR="006D7784" w:rsidRPr="003752CB">
        <w:rPr>
          <w:rFonts w:eastAsia="Aptos" w:cs="Aptos"/>
        </w:rPr>
        <w:t xml:space="preserve"> being given</w:t>
      </w:r>
      <w:r w:rsidRPr="003752CB">
        <w:rPr>
          <w:rFonts w:eastAsia="Aptos" w:cs="Aptos"/>
        </w:rPr>
        <w:t xml:space="preserve"> opportunities to co-create learning environments </w:t>
      </w:r>
      <w:r w:rsidR="006D7784" w:rsidRPr="003752CB">
        <w:rPr>
          <w:rFonts w:eastAsia="Aptos" w:cs="Aptos"/>
        </w:rPr>
        <w:t>with community members</w:t>
      </w:r>
      <w:r w:rsidR="00282AE3" w:rsidRPr="003752CB">
        <w:rPr>
          <w:rStyle w:val="EndnoteReference"/>
          <w:rFonts w:eastAsia="Aptos" w:cs="Aptos"/>
        </w:rPr>
        <w:endnoteReference w:id="80"/>
      </w:r>
      <w:r w:rsidRPr="003752CB">
        <w:rPr>
          <w:rFonts w:eastAsia="Aptos" w:cs="Aptos"/>
        </w:rPr>
        <w:t>.</w:t>
      </w:r>
      <w:r w:rsidR="000D02DF" w:rsidRPr="003752CB">
        <w:rPr>
          <w:rFonts w:eastAsia="Aptos" w:cs="Aptos"/>
        </w:rPr>
        <w:t xml:space="preserve"> </w:t>
      </w:r>
    </w:p>
    <w:p w14:paraId="0D9FD141" w14:textId="24B9C0C8" w:rsidR="00C76FEC" w:rsidRPr="003752CB" w:rsidRDefault="00C76FEC" w:rsidP="00E432DD">
      <w:pPr>
        <w:rPr>
          <w:rFonts w:eastAsia="Aptos" w:cs="Aptos"/>
        </w:rPr>
      </w:pPr>
      <w:r w:rsidRPr="003752CB">
        <w:rPr>
          <w:rFonts w:eastAsia="Aptos" w:cs="Aptos"/>
        </w:rPr>
        <w:t>More concretely, i</w:t>
      </w:r>
      <w:r w:rsidR="000D02DF" w:rsidRPr="003752CB">
        <w:rPr>
          <w:rFonts w:eastAsia="Aptos" w:cs="Aptos"/>
        </w:rPr>
        <w:t xml:space="preserve">nstructors and facilitators </w:t>
      </w:r>
      <w:r w:rsidR="00C93F97" w:rsidRPr="003752CB">
        <w:rPr>
          <w:rFonts w:eastAsia="Aptos" w:cs="Aptos"/>
        </w:rPr>
        <w:t xml:space="preserve">can keep pace with dynamic changes in technology </w:t>
      </w:r>
      <w:r w:rsidR="00503D08" w:rsidRPr="003752CB">
        <w:rPr>
          <w:rFonts w:eastAsia="Aptos" w:cs="Aptos"/>
        </w:rPr>
        <w:t>by</w:t>
      </w:r>
      <w:r w:rsidRPr="003752CB">
        <w:rPr>
          <w:rFonts w:eastAsia="Aptos" w:cs="Aptos"/>
        </w:rPr>
        <w:t>:</w:t>
      </w:r>
      <w:r w:rsidR="00C93F97" w:rsidRPr="003752CB">
        <w:rPr>
          <w:rFonts w:eastAsia="Aptos" w:cs="Aptos"/>
        </w:rPr>
        <w:t xml:space="preserve"> </w:t>
      </w:r>
    </w:p>
    <w:p w14:paraId="384BEABD" w14:textId="48038D0A" w:rsidR="00C76FEC" w:rsidRPr="003752CB" w:rsidRDefault="00503D08" w:rsidP="007E5FD0">
      <w:pPr>
        <w:pStyle w:val="ListParagraph"/>
        <w:numPr>
          <w:ilvl w:val="0"/>
          <w:numId w:val="23"/>
        </w:numPr>
        <w:rPr>
          <w:rFonts w:eastAsia="Aptos" w:cs="Aptos"/>
        </w:rPr>
      </w:pPr>
      <w:r w:rsidRPr="003752CB">
        <w:rPr>
          <w:rFonts w:eastAsia="Aptos" w:cs="Aptos"/>
        </w:rPr>
        <w:t>Developing a strong foundation in widely used tools such as</w:t>
      </w:r>
      <w:r w:rsidR="00C93F97" w:rsidRPr="003752CB">
        <w:rPr>
          <w:rFonts w:eastAsia="Aptos" w:cs="Aptos"/>
        </w:rPr>
        <w:t xml:space="preserve"> Microsoft 365, social media, </w:t>
      </w:r>
      <w:r w:rsidR="00C76FEC" w:rsidRPr="003752CB">
        <w:rPr>
          <w:rFonts w:eastAsia="Aptos" w:cs="Aptos"/>
        </w:rPr>
        <w:t xml:space="preserve">and </w:t>
      </w:r>
      <w:r w:rsidRPr="003752CB">
        <w:rPr>
          <w:rFonts w:eastAsia="Aptos" w:cs="Aptos"/>
        </w:rPr>
        <w:t xml:space="preserve">emerging </w:t>
      </w:r>
      <w:r w:rsidR="00C93F97" w:rsidRPr="003752CB">
        <w:rPr>
          <w:rFonts w:eastAsia="Aptos" w:cs="Aptos"/>
        </w:rPr>
        <w:t>AI technologies</w:t>
      </w:r>
      <w:r w:rsidR="00170292" w:rsidRPr="003752CB">
        <w:rPr>
          <w:rFonts w:eastAsia="Aptos" w:cs="Aptos"/>
        </w:rPr>
        <w:t>.</w:t>
      </w:r>
    </w:p>
    <w:p w14:paraId="7C03A841" w14:textId="4EE9E7A5" w:rsidR="00C76FEC" w:rsidRPr="003752CB" w:rsidRDefault="00C76FEC" w:rsidP="007E5FD0">
      <w:pPr>
        <w:pStyle w:val="ListParagraph"/>
        <w:numPr>
          <w:ilvl w:val="0"/>
          <w:numId w:val="23"/>
        </w:numPr>
        <w:rPr>
          <w:rFonts w:eastAsia="Aptos" w:cs="Aptos"/>
        </w:rPr>
      </w:pPr>
      <w:r w:rsidRPr="003752CB">
        <w:rPr>
          <w:rFonts w:eastAsia="Aptos" w:cs="Aptos"/>
        </w:rPr>
        <w:t>F</w:t>
      </w:r>
      <w:r w:rsidR="00CE3FD3" w:rsidRPr="003752CB">
        <w:rPr>
          <w:rFonts w:eastAsia="Aptos" w:cs="Aptos"/>
        </w:rPr>
        <w:t>ollowing RSS feeds, technology blogs, and newsletters</w:t>
      </w:r>
      <w:r w:rsidR="00503D08" w:rsidRPr="003752CB">
        <w:rPr>
          <w:rFonts w:eastAsia="Aptos" w:cs="Aptos"/>
        </w:rPr>
        <w:t xml:space="preserve"> to stay informed</w:t>
      </w:r>
      <w:r w:rsidR="00170292" w:rsidRPr="003752CB">
        <w:rPr>
          <w:rFonts w:eastAsia="Aptos" w:cs="Aptos"/>
        </w:rPr>
        <w:t>.</w:t>
      </w:r>
    </w:p>
    <w:p w14:paraId="64C1A1C1" w14:textId="0A1DAAC3" w:rsidR="00C76FEC" w:rsidRPr="003752CB" w:rsidRDefault="00C76FEC" w:rsidP="007E5FD0">
      <w:pPr>
        <w:pStyle w:val="ListParagraph"/>
        <w:numPr>
          <w:ilvl w:val="0"/>
          <w:numId w:val="23"/>
        </w:numPr>
        <w:rPr>
          <w:rFonts w:eastAsia="Aptos" w:cs="Aptos"/>
        </w:rPr>
      </w:pPr>
      <w:r w:rsidRPr="003752CB">
        <w:rPr>
          <w:rFonts w:eastAsia="Aptos" w:cs="Aptos"/>
        </w:rPr>
        <w:t>S</w:t>
      </w:r>
      <w:r w:rsidR="00CE3FD3" w:rsidRPr="003752CB">
        <w:rPr>
          <w:rFonts w:eastAsia="Aptos" w:cs="Aptos"/>
        </w:rPr>
        <w:t>ubscrib</w:t>
      </w:r>
      <w:r w:rsidRPr="003752CB">
        <w:rPr>
          <w:rFonts w:eastAsia="Aptos" w:cs="Aptos"/>
        </w:rPr>
        <w:t>ing</w:t>
      </w:r>
      <w:r w:rsidR="00CE3FD3" w:rsidRPr="003752CB">
        <w:rPr>
          <w:rFonts w:eastAsia="Aptos" w:cs="Aptos"/>
        </w:rPr>
        <w:t xml:space="preserve"> to </w:t>
      </w:r>
      <w:r w:rsidR="00503D08" w:rsidRPr="003752CB">
        <w:rPr>
          <w:rFonts w:eastAsia="Aptos" w:cs="Aptos"/>
        </w:rPr>
        <w:t>updates from major technology companies</w:t>
      </w:r>
      <w:r w:rsidRPr="003752CB">
        <w:rPr>
          <w:rFonts w:eastAsia="Aptos" w:cs="Aptos"/>
        </w:rPr>
        <w:t xml:space="preserve"> like </w:t>
      </w:r>
      <w:r w:rsidR="00CE3FD3" w:rsidRPr="003752CB">
        <w:rPr>
          <w:rFonts w:eastAsia="Aptos" w:cs="Aptos"/>
        </w:rPr>
        <w:t>M</w:t>
      </w:r>
      <w:r w:rsidRPr="003752CB">
        <w:rPr>
          <w:rFonts w:eastAsia="Aptos" w:cs="Aptos"/>
        </w:rPr>
        <w:t>i</w:t>
      </w:r>
      <w:r w:rsidR="00CE3FD3" w:rsidRPr="003752CB">
        <w:rPr>
          <w:rFonts w:eastAsia="Aptos" w:cs="Aptos"/>
        </w:rPr>
        <w:t xml:space="preserve">crosoft, Google, Apple, </w:t>
      </w:r>
      <w:r w:rsidRPr="003752CB">
        <w:rPr>
          <w:rFonts w:eastAsia="Aptos" w:cs="Aptos"/>
        </w:rPr>
        <w:t xml:space="preserve">and </w:t>
      </w:r>
      <w:r w:rsidR="00CE3FD3" w:rsidRPr="003752CB">
        <w:rPr>
          <w:rFonts w:eastAsia="Aptos" w:cs="Aptos"/>
        </w:rPr>
        <w:t>OpenAI</w:t>
      </w:r>
      <w:r w:rsidR="00170292" w:rsidRPr="003752CB">
        <w:rPr>
          <w:rFonts w:eastAsia="Aptos" w:cs="Aptos"/>
        </w:rPr>
        <w:t>.</w:t>
      </w:r>
    </w:p>
    <w:p w14:paraId="632BF64D" w14:textId="575934A7" w:rsidR="00C76FEC" w:rsidRPr="003752CB" w:rsidRDefault="00503D08" w:rsidP="007E5FD0">
      <w:pPr>
        <w:pStyle w:val="ListParagraph"/>
        <w:numPr>
          <w:ilvl w:val="0"/>
          <w:numId w:val="23"/>
        </w:numPr>
        <w:rPr>
          <w:rFonts w:eastAsia="Aptos" w:cs="Aptos"/>
        </w:rPr>
      </w:pPr>
      <w:r w:rsidRPr="003752CB">
        <w:rPr>
          <w:rFonts w:eastAsia="Aptos" w:cs="Aptos"/>
        </w:rPr>
        <w:t>Setting aside regular time for professional development and technology exploration</w:t>
      </w:r>
      <w:r w:rsidR="00170292" w:rsidRPr="003752CB">
        <w:rPr>
          <w:rFonts w:eastAsia="Aptos" w:cs="Aptos"/>
        </w:rPr>
        <w:t>.</w:t>
      </w:r>
    </w:p>
    <w:p w14:paraId="00970AE0" w14:textId="042D56A4" w:rsidR="00C76FEC" w:rsidRPr="003752CB" w:rsidRDefault="00503D08" w:rsidP="007E5FD0">
      <w:pPr>
        <w:pStyle w:val="ListParagraph"/>
        <w:numPr>
          <w:ilvl w:val="0"/>
          <w:numId w:val="23"/>
        </w:numPr>
        <w:rPr>
          <w:rFonts w:eastAsia="Aptos" w:cs="Aptos"/>
        </w:rPr>
      </w:pPr>
      <w:r w:rsidRPr="003752CB">
        <w:rPr>
          <w:rFonts w:eastAsia="Aptos" w:cs="Aptos"/>
        </w:rPr>
        <w:t>Maintaining an open, flexible, and adaptable mindset toward change</w:t>
      </w:r>
      <w:r w:rsidR="00170292" w:rsidRPr="003752CB">
        <w:rPr>
          <w:rFonts w:eastAsia="Aptos" w:cs="Aptos"/>
        </w:rPr>
        <w:t>.</w:t>
      </w:r>
    </w:p>
    <w:p w14:paraId="2CAFE99F" w14:textId="62DC7EF8" w:rsidR="00B537EF" w:rsidRPr="003752CB" w:rsidRDefault="00B537EF" w:rsidP="007E5FD0">
      <w:pPr>
        <w:pStyle w:val="ListParagraph"/>
        <w:numPr>
          <w:ilvl w:val="0"/>
          <w:numId w:val="23"/>
        </w:numPr>
        <w:rPr>
          <w:rFonts w:eastAsia="Aptos" w:cs="Aptos"/>
        </w:rPr>
      </w:pPr>
      <w:r w:rsidRPr="003752CB">
        <w:rPr>
          <w:rFonts w:eastAsia="Aptos" w:cs="Aptos"/>
        </w:rPr>
        <w:t xml:space="preserve">Communicating </w:t>
      </w:r>
      <w:r w:rsidR="00503D08" w:rsidRPr="003752CB">
        <w:rPr>
          <w:rFonts w:eastAsia="Aptos" w:cs="Aptos"/>
        </w:rPr>
        <w:t>clearly with learners about the rapid pace of technological evolution</w:t>
      </w:r>
      <w:r w:rsidR="00170292" w:rsidRPr="003752CB">
        <w:rPr>
          <w:rFonts w:eastAsia="Aptos" w:cs="Aptos"/>
        </w:rPr>
        <w:t>.</w:t>
      </w:r>
    </w:p>
    <w:p w14:paraId="1A374DF9" w14:textId="3ABCDB88" w:rsidR="00503D08" w:rsidRPr="003752CB" w:rsidRDefault="00B537EF" w:rsidP="00503D08">
      <w:pPr>
        <w:pStyle w:val="ListParagraph"/>
        <w:numPr>
          <w:ilvl w:val="0"/>
          <w:numId w:val="23"/>
        </w:numPr>
        <w:rPr>
          <w:rFonts w:eastAsia="Aptos" w:cs="Aptos"/>
        </w:rPr>
      </w:pPr>
      <w:r w:rsidRPr="003752CB">
        <w:rPr>
          <w:rFonts w:eastAsia="Aptos" w:cs="Aptos"/>
        </w:rPr>
        <w:t>Creating co-learning opportunities</w:t>
      </w:r>
      <w:r w:rsidR="00503D08" w:rsidRPr="003752CB">
        <w:rPr>
          <w:rFonts w:eastAsia="Aptos" w:cs="Aptos"/>
        </w:rPr>
        <w:t xml:space="preserve"> where facilitators and learners explore new tools together</w:t>
      </w:r>
      <w:r w:rsidR="00170292" w:rsidRPr="003752CB">
        <w:rPr>
          <w:rFonts w:eastAsia="Aptos" w:cs="Aptos"/>
        </w:rPr>
        <w:t>.</w:t>
      </w:r>
    </w:p>
    <w:p w14:paraId="29B5CA26" w14:textId="270A2A57" w:rsidR="00C24053" w:rsidRPr="003752CB" w:rsidRDefault="00F47391" w:rsidP="00E432DD">
      <w:pPr>
        <w:rPr>
          <w:rFonts w:eastAsia="Aptos" w:cs="Aptos"/>
        </w:rPr>
      </w:pPr>
      <w:r w:rsidRPr="003752CB">
        <w:rPr>
          <w:rFonts w:eastAsia="Aptos" w:cs="Aptos"/>
        </w:rPr>
        <w:t>When instructors are confident, well-supported, and reflective in their practice, they can foster inclusive, engaging, and personalized learning experiences that benefit all learners.</w:t>
      </w:r>
    </w:p>
    <w:p w14:paraId="67518F0C" w14:textId="6171CF34" w:rsidR="00FE0BB5" w:rsidRPr="003752CB" w:rsidRDefault="00FE0BB5" w:rsidP="001B4415">
      <w:pPr>
        <w:pStyle w:val="Heading2"/>
        <w:rPr>
          <w:rFonts w:eastAsia="Aptos"/>
        </w:rPr>
      </w:pPr>
      <w:r w:rsidRPr="003752CB">
        <w:rPr>
          <w:rFonts w:eastAsia="Aptos"/>
        </w:rPr>
        <w:t xml:space="preserve">Beyond Curriculum Design: </w:t>
      </w:r>
      <w:r w:rsidR="006D4C23" w:rsidRPr="003752CB">
        <w:rPr>
          <w:rFonts w:eastAsia="Aptos"/>
        </w:rPr>
        <w:t xml:space="preserve">Building Trust, </w:t>
      </w:r>
      <w:r w:rsidRPr="003752CB">
        <w:rPr>
          <w:rFonts w:eastAsia="Aptos"/>
        </w:rPr>
        <w:t>Community Engagement</w:t>
      </w:r>
      <w:r w:rsidR="006D4C23" w:rsidRPr="003752CB">
        <w:rPr>
          <w:rFonts w:eastAsia="Aptos"/>
        </w:rPr>
        <w:t xml:space="preserve">, and Monitoring </w:t>
      </w:r>
      <w:r w:rsidRPr="003752CB">
        <w:rPr>
          <w:rFonts w:eastAsia="Aptos"/>
        </w:rPr>
        <w:t xml:space="preserve">and Evaluation </w:t>
      </w:r>
    </w:p>
    <w:p w14:paraId="2C92D6D1" w14:textId="00BD888D" w:rsidR="001506C7" w:rsidRPr="003752CB" w:rsidRDefault="003133CA" w:rsidP="008C68CA">
      <w:pPr>
        <w:rPr>
          <w:rFonts w:eastAsia="Aptos" w:cs="Aptos"/>
        </w:rPr>
      </w:pPr>
      <w:r w:rsidRPr="003752CB">
        <w:rPr>
          <w:rFonts w:eastAsia="Aptos" w:cs="Aptos"/>
        </w:rPr>
        <w:t>In addition to designing effective curricula, a</w:t>
      </w:r>
      <w:r w:rsidR="00AE7855" w:rsidRPr="003752CB">
        <w:rPr>
          <w:rFonts w:eastAsia="Aptos" w:cs="Aptos"/>
        </w:rPr>
        <w:t xml:space="preserve">s community connectors and advocates, service providers have a responsibility to </w:t>
      </w:r>
      <w:r w:rsidR="001506C7" w:rsidRPr="003752CB">
        <w:rPr>
          <w:rFonts w:eastAsia="Aptos" w:cs="Aptos"/>
        </w:rPr>
        <w:t>foster trust, encourage community engagement, and actively participate in monitoring and evaluation processes.</w:t>
      </w:r>
    </w:p>
    <w:p w14:paraId="4E9C51CB" w14:textId="52193854" w:rsidR="00DC34D0" w:rsidRPr="003752CB" w:rsidRDefault="00DC34D0" w:rsidP="001B4415">
      <w:pPr>
        <w:pStyle w:val="Heading3"/>
        <w:rPr>
          <w:rFonts w:eastAsia="Aptos"/>
        </w:rPr>
      </w:pPr>
      <w:r w:rsidRPr="003752CB">
        <w:rPr>
          <w:rFonts w:eastAsia="Aptos"/>
        </w:rPr>
        <w:t xml:space="preserve">Building Trust and Community Engagement </w:t>
      </w:r>
    </w:p>
    <w:p w14:paraId="5A8661F1" w14:textId="2E0957F5" w:rsidR="00120A1C" w:rsidRPr="003752CB" w:rsidRDefault="00DC34D0" w:rsidP="008C68CA">
      <w:pPr>
        <w:rPr>
          <w:rFonts w:eastAsia="Aptos" w:cs="Aptos"/>
        </w:rPr>
      </w:pPr>
      <w:r w:rsidRPr="003752CB">
        <w:rPr>
          <w:rFonts w:eastAsia="Aptos" w:cs="Aptos"/>
        </w:rPr>
        <w:t>A collaborative, community-driven approach</w:t>
      </w:r>
      <w:r w:rsidR="007B4DDA" w:rsidRPr="003752CB">
        <w:rPr>
          <w:rFonts w:eastAsia="Aptos" w:cs="Aptos"/>
        </w:rPr>
        <w:t xml:space="preserve"> is foundational to effective program design, including skills training programs. This can mean</w:t>
      </w:r>
      <w:r w:rsidRPr="003752CB">
        <w:rPr>
          <w:rFonts w:eastAsia="Aptos" w:cs="Aptos"/>
        </w:rPr>
        <w:t xml:space="preserve"> co-designing initiatives with local </w:t>
      </w:r>
      <w:r w:rsidR="00537DDD" w:rsidRPr="003752CB">
        <w:rPr>
          <w:rFonts w:eastAsia="Aptos" w:cs="Aptos"/>
        </w:rPr>
        <w:t xml:space="preserve">community </w:t>
      </w:r>
      <w:r w:rsidRPr="003752CB">
        <w:rPr>
          <w:rFonts w:eastAsia="Aptos" w:cs="Aptos"/>
        </w:rPr>
        <w:t>organizations</w:t>
      </w:r>
      <w:r w:rsidR="00537DDD" w:rsidRPr="003752CB">
        <w:rPr>
          <w:rFonts w:eastAsia="Aptos" w:cs="Aptos"/>
        </w:rPr>
        <w:t>, disability advocates, and representatives of other communities (such as</w:t>
      </w:r>
      <w:r w:rsidRPr="003752CB">
        <w:rPr>
          <w:rFonts w:eastAsia="Aptos" w:cs="Aptos"/>
        </w:rPr>
        <w:t xml:space="preserve"> Indigenous communities</w:t>
      </w:r>
      <w:r w:rsidR="00537DDD" w:rsidRPr="003752CB">
        <w:rPr>
          <w:rFonts w:eastAsia="Aptos" w:cs="Aptos"/>
        </w:rPr>
        <w:t>)</w:t>
      </w:r>
      <w:r w:rsidRPr="003752CB">
        <w:rPr>
          <w:rFonts w:eastAsia="Aptos" w:cs="Aptos"/>
        </w:rPr>
        <w:t>, ensur</w:t>
      </w:r>
      <w:r w:rsidR="007B4DDA" w:rsidRPr="003752CB">
        <w:rPr>
          <w:rFonts w:eastAsia="Aptos" w:cs="Aptos"/>
        </w:rPr>
        <w:t>ing</w:t>
      </w:r>
      <w:r w:rsidRPr="003752CB">
        <w:rPr>
          <w:rFonts w:eastAsia="Aptos" w:cs="Aptos"/>
        </w:rPr>
        <w:t xml:space="preserve"> that programs are not only accessible but also culturally relevant and aligned with the lived experiences and priorities of the communities they serve</w:t>
      </w:r>
      <w:r w:rsidR="00866896" w:rsidRPr="003752CB">
        <w:rPr>
          <w:rStyle w:val="EndnoteReference"/>
          <w:rFonts w:eastAsia="Aptos" w:cs="Aptos"/>
        </w:rPr>
        <w:endnoteReference w:id="81"/>
      </w:r>
      <w:r w:rsidRPr="003752CB">
        <w:rPr>
          <w:rFonts w:eastAsia="Aptos" w:cs="Aptos"/>
        </w:rPr>
        <w:t xml:space="preserve">. </w:t>
      </w:r>
    </w:p>
    <w:p w14:paraId="5DFAC085" w14:textId="150361DC" w:rsidR="00DC34D0" w:rsidRPr="003752CB" w:rsidRDefault="00120A1C" w:rsidP="008C68CA">
      <w:pPr>
        <w:rPr>
          <w:rFonts w:eastAsia="Aptos" w:cs="Aptos"/>
        </w:rPr>
      </w:pPr>
      <w:r w:rsidRPr="003752CB">
        <w:rPr>
          <w:rFonts w:eastAsia="Aptos" w:cs="Aptos"/>
        </w:rPr>
        <w:t>P</w:t>
      </w:r>
      <w:r w:rsidR="00DC34D0" w:rsidRPr="003752CB">
        <w:rPr>
          <w:rFonts w:eastAsia="Aptos" w:cs="Aptos"/>
        </w:rPr>
        <w:t>articipatory model</w:t>
      </w:r>
      <w:r w:rsidRPr="003752CB">
        <w:rPr>
          <w:rFonts w:eastAsia="Aptos" w:cs="Aptos"/>
        </w:rPr>
        <w:t>s</w:t>
      </w:r>
      <w:r w:rsidR="000F2CB9" w:rsidRPr="003752CB">
        <w:rPr>
          <w:rFonts w:eastAsia="Aptos" w:cs="Aptos"/>
        </w:rPr>
        <w:t xml:space="preserve"> – where end users are invited to co-design</w:t>
      </w:r>
      <w:r w:rsidR="004C58A7" w:rsidRPr="003752CB">
        <w:rPr>
          <w:rFonts w:eastAsia="Aptos" w:cs="Aptos"/>
        </w:rPr>
        <w:t xml:space="preserve"> skills training programs</w:t>
      </w:r>
      <w:r w:rsidR="008050E6" w:rsidRPr="003752CB">
        <w:rPr>
          <w:rFonts w:eastAsia="Aptos" w:cs="Aptos"/>
        </w:rPr>
        <w:t xml:space="preserve"> aligned with community needs</w:t>
      </w:r>
      <w:r w:rsidR="00A35E8F" w:rsidRPr="003752CB">
        <w:rPr>
          <w:rFonts w:eastAsia="Aptos" w:cs="Aptos"/>
        </w:rPr>
        <w:t xml:space="preserve"> </w:t>
      </w:r>
      <w:r w:rsidR="000F2CB9" w:rsidRPr="003752CB">
        <w:rPr>
          <w:rFonts w:eastAsia="Aptos" w:cs="Aptos"/>
        </w:rPr>
        <w:t>–</w:t>
      </w:r>
      <w:r w:rsidR="00DC34D0" w:rsidRPr="003752CB">
        <w:rPr>
          <w:rFonts w:eastAsia="Aptos" w:cs="Aptos"/>
        </w:rPr>
        <w:t xml:space="preserve"> support the integration of traditional knowledge systems and culturally grounded learning methods, which are especially important in Indigenous </w:t>
      </w:r>
      <w:r w:rsidR="00DC34D0" w:rsidRPr="003752CB">
        <w:rPr>
          <w:rFonts w:eastAsia="Aptos" w:cs="Aptos"/>
        </w:rPr>
        <w:lastRenderedPageBreak/>
        <w:t xml:space="preserve">and </w:t>
      </w:r>
      <w:r w:rsidR="00445014" w:rsidRPr="003752CB">
        <w:rPr>
          <w:rFonts w:eastAsia="Aptos" w:cs="Aptos"/>
        </w:rPr>
        <w:t xml:space="preserve">other </w:t>
      </w:r>
      <w:r w:rsidR="00DC34D0" w:rsidRPr="003752CB">
        <w:rPr>
          <w:rFonts w:eastAsia="Aptos" w:cs="Aptos"/>
        </w:rPr>
        <w:t>marginalized contexts</w:t>
      </w:r>
      <w:r w:rsidR="00CB746B" w:rsidRPr="003752CB">
        <w:rPr>
          <w:rStyle w:val="EndnoteReference"/>
          <w:rFonts w:eastAsia="Aptos" w:cs="Aptos"/>
        </w:rPr>
        <w:endnoteReference w:id="82"/>
      </w:r>
      <w:r w:rsidR="00DC34D0" w:rsidRPr="003752CB">
        <w:rPr>
          <w:rFonts w:eastAsia="Aptos" w:cs="Aptos"/>
        </w:rPr>
        <w:t>. </w:t>
      </w:r>
      <w:r w:rsidRPr="003752CB">
        <w:rPr>
          <w:rFonts w:eastAsia="Aptos" w:cs="Aptos"/>
        </w:rPr>
        <w:t xml:space="preserve"> When digital </w:t>
      </w:r>
      <w:r w:rsidR="00445014" w:rsidRPr="003752CB">
        <w:rPr>
          <w:rFonts w:eastAsia="Aptos" w:cs="Aptos"/>
        </w:rPr>
        <w:t xml:space="preserve">skills </w:t>
      </w:r>
      <w:r w:rsidRPr="003752CB">
        <w:rPr>
          <w:rFonts w:eastAsia="Aptos" w:cs="Aptos"/>
        </w:rPr>
        <w:t>training is delivered in familiar community settings and reflects local cultural practices, it not only improves learning outcomes but also strengthens social cohesion and intergenerational knowledge sharing</w:t>
      </w:r>
      <w:r w:rsidR="005C28BB" w:rsidRPr="003752CB">
        <w:rPr>
          <w:rStyle w:val="EndnoteReference"/>
          <w:rFonts w:eastAsia="Aptos" w:cs="Aptos"/>
        </w:rPr>
        <w:endnoteReference w:customMarkFollows="1" w:id="83"/>
        <w:t>66</w:t>
      </w:r>
      <w:r w:rsidRPr="003752CB">
        <w:rPr>
          <w:rFonts w:eastAsia="Aptos" w:cs="Aptos"/>
        </w:rPr>
        <w:t>.</w:t>
      </w:r>
    </w:p>
    <w:p w14:paraId="77B89E1B" w14:textId="4D8931B9" w:rsidR="00DC34D0" w:rsidRPr="003752CB" w:rsidRDefault="00DC34D0" w:rsidP="008C68CA">
      <w:pPr>
        <w:rPr>
          <w:rFonts w:eastAsia="Aptos" w:cs="Aptos"/>
        </w:rPr>
      </w:pPr>
      <w:r w:rsidRPr="003752CB">
        <w:rPr>
          <w:rFonts w:eastAsia="Aptos" w:cs="Aptos"/>
        </w:rPr>
        <w:t>Peer mentorship and the use of community ambassadors have emerged as powerful strategies to enhance program uptake and relevance. These approaches leverage trusted community members to deliver training and support, which increases comfort, reduces stigma, and fosters a sense of ownership and empowerment among participants</w:t>
      </w:r>
      <w:r w:rsidR="0056620E" w:rsidRPr="003752CB">
        <w:rPr>
          <w:rStyle w:val="EndnoteReference"/>
          <w:rFonts w:eastAsia="Aptos" w:cs="Aptos"/>
        </w:rPr>
        <w:endnoteReference w:id="84"/>
      </w:r>
      <w:r w:rsidRPr="003752CB">
        <w:rPr>
          <w:rFonts w:eastAsia="Aptos" w:cs="Aptos"/>
        </w:rPr>
        <w:t>.</w:t>
      </w:r>
    </w:p>
    <w:p w14:paraId="1E393CF7" w14:textId="44C5B1ED" w:rsidR="00E84BC5" w:rsidRPr="003752CB" w:rsidRDefault="002A4141" w:rsidP="008C68CA">
      <w:pPr>
        <w:rPr>
          <w:rFonts w:eastAsia="Aptos" w:cs="Aptos"/>
        </w:rPr>
      </w:pPr>
      <w:r w:rsidRPr="003752CB">
        <w:rPr>
          <w:rFonts w:eastAsia="Aptos" w:cs="Aptos"/>
        </w:rPr>
        <w:t xml:space="preserve">Community-engaged </w:t>
      </w:r>
      <w:r w:rsidR="00092CA0" w:rsidRPr="003752CB">
        <w:rPr>
          <w:rFonts w:eastAsia="Aptos" w:cs="Aptos"/>
        </w:rPr>
        <w:t xml:space="preserve">program design </w:t>
      </w:r>
      <w:r w:rsidR="00E84BC5" w:rsidRPr="003752CB">
        <w:rPr>
          <w:rFonts w:eastAsia="Aptos" w:cs="Aptos"/>
        </w:rPr>
        <w:t>must</w:t>
      </w:r>
      <w:r w:rsidR="00967493" w:rsidRPr="003752CB">
        <w:rPr>
          <w:rFonts w:eastAsia="Aptos" w:cs="Aptos"/>
        </w:rPr>
        <w:t xml:space="preserve"> be paired with</w:t>
      </w:r>
      <w:r w:rsidR="00E84BC5" w:rsidRPr="003752CB">
        <w:rPr>
          <w:rFonts w:eastAsia="Aptos" w:cs="Aptos"/>
        </w:rPr>
        <w:t xml:space="preserve"> intentional </w:t>
      </w:r>
      <w:r w:rsidR="00967493" w:rsidRPr="003752CB">
        <w:rPr>
          <w:rFonts w:eastAsia="Aptos" w:cs="Aptos"/>
        </w:rPr>
        <w:t>relationship-building</w:t>
      </w:r>
      <w:r w:rsidR="00B4281B" w:rsidRPr="003752CB">
        <w:rPr>
          <w:rFonts w:eastAsia="Aptos" w:cs="Aptos"/>
        </w:rPr>
        <w:t xml:space="preserve"> between facilitators, learners, and communities</w:t>
      </w:r>
      <w:r w:rsidR="00967493" w:rsidRPr="003752CB">
        <w:rPr>
          <w:rFonts w:eastAsia="Aptos" w:cs="Aptos"/>
        </w:rPr>
        <w:t xml:space="preserve"> to foster trust</w:t>
      </w:r>
      <w:r w:rsidR="00E84BC5" w:rsidRPr="003752CB">
        <w:rPr>
          <w:rFonts w:eastAsia="Aptos" w:cs="Aptos"/>
        </w:rPr>
        <w:t xml:space="preserve">, </w:t>
      </w:r>
      <w:r w:rsidR="00967493" w:rsidRPr="003752CB">
        <w:rPr>
          <w:rFonts w:eastAsia="Aptos" w:cs="Aptos"/>
        </w:rPr>
        <w:t>mutual accountability</w:t>
      </w:r>
      <w:r w:rsidR="00E84BC5" w:rsidRPr="003752CB">
        <w:rPr>
          <w:rFonts w:eastAsia="Aptos" w:cs="Aptos"/>
        </w:rPr>
        <w:t>, and long-term impact.</w:t>
      </w:r>
      <w:r w:rsidR="00967493" w:rsidRPr="003752CB">
        <w:rPr>
          <w:rFonts w:eastAsia="Aptos" w:cs="Aptos"/>
        </w:rPr>
        <w:t xml:space="preserve"> Programs </w:t>
      </w:r>
      <w:r w:rsidR="00E84BC5" w:rsidRPr="003752CB">
        <w:rPr>
          <w:rFonts w:eastAsia="Aptos" w:cs="Aptos"/>
        </w:rPr>
        <w:t>which actively involve</w:t>
      </w:r>
      <w:r w:rsidR="00967493" w:rsidRPr="003752CB">
        <w:rPr>
          <w:rFonts w:eastAsia="Aptos" w:cs="Aptos"/>
        </w:rPr>
        <w:t xml:space="preserve"> community</w:t>
      </w:r>
      <w:r w:rsidR="00E84BC5" w:rsidRPr="003752CB">
        <w:rPr>
          <w:rFonts w:eastAsia="Aptos" w:cs="Aptos"/>
        </w:rPr>
        <w:t xml:space="preserve"> members</w:t>
      </w:r>
      <w:r w:rsidR="00967493" w:rsidRPr="003752CB">
        <w:rPr>
          <w:rFonts w:eastAsia="Aptos" w:cs="Aptos"/>
        </w:rPr>
        <w:t xml:space="preserve"> </w:t>
      </w:r>
      <w:r w:rsidR="00E84BC5" w:rsidRPr="003752CB">
        <w:rPr>
          <w:rFonts w:eastAsia="Aptos" w:cs="Aptos"/>
        </w:rPr>
        <w:t xml:space="preserve">not only </w:t>
      </w:r>
      <w:r w:rsidR="00DC34D0" w:rsidRPr="003752CB">
        <w:rPr>
          <w:rFonts w:eastAsia="Aptos" w:cs="Aptos"/>
        </w:rPr>
        <w:t>build local capacity</w:t>
      </w:r>
      <w:r w:rsidR="00E84BC5" w:rsidRPr="003752CB">
        <w:rPr>
          <w:rFonts w:eastAsia="Aptos" w:cs="Aptos"/>
        </w:rPr>
        <w:t xml:space="preserve"> but also</w:t>
      </w:r>
      <w:r w:rsidR="00D6332F" w:rsidRPr="003752CB">
        <w:rPr>
          <w:rFonts w:eastAsia="Aptos" w:cs="Aptos"/>
        </w:rPr>
        <w:t xml:space="preserve"> </w:t>
      </w:r>
      <w:r w:rsidR="00092CA0" w:rsidRPr="003752CB">
        <w:rPr>
          <w:rFonts w:eastAsia="Aptos" w:cs="Aptos"/>
        </w:rPr>
        <w:t xml:space="preserve">promote </w:t>
      </w:r>
      <w:r w:rsidR="00DC34D0" w:rsidRPr="003752CB">
        <w:rPr>
          <w:rFonts w:eastAsia="Aptos" w:cs="Aptos"/>
        </w:rPr>
        <w:t>sustainability</w:t>
      </w:r>
      <w:r w:rsidR="009F53F6" w:rsidRPr="003752CB">
        <w:rPr>
          <w:rFonts w:eastAsia="Aptos" w:cs="Aptos"/>
        </w:rPr>
        <w:t xml:space="preserve"> by aligning with community needs and values</w:t>
      </w:r>
      <w:r w:rsidR="00DC34D0" w:rsidRPr="003752CB">
        <w:rPr>
          <w:rFonts w:eastAsia="Aptos" w:cs="Aptos"/>
        </w:rPr>
        <w:t>.</w:t>
      </w:r>
      <w:r w:rsidR="009F53F6" w:rsidRPr="003752CB">
        <w:rPr>
          <w:rFonts w:eastAsia="Aptos" w:cs="Aptos"/>
        </w:rPr>
        <w:t xml:space="preserve"> In the context of digital skills training,</w:t>
      </w:r>
      <w:r w:rsidR="00D6332F" w:rsidRPr="003752CB">
        <w:rPr>
          <w:rFonts w:eastAsia="Aptos" w:cs="Aptos"/>
        </w:rPr>
        <w:t xml:space="preserve"> </w:t>
      </w:r>
      <w:r w:rsidR="00092CA0" w:rsidRPr="003752CB">
        <w:rPr>
          <w:rFonts w:eastAsia="Aptos" w:cs="Aptos"/>
        </w:rPr>
        <w:t>these approaches</w:t>
      </w:r>
      <w:r w:rsidR="00D6332F" w:rsidRPr="003752CB">
        <w:rPr>
          <w:rFonts w:eastAsia="Aptos" w:cs="Aptos"/>
        </w:rPr>
        <w:t xml:space="preserve"> </w:t>
      </w:r>
      <w:r w:rsidR="00050A20" w:rsidRPr="003752CB">
        <w:rPr>
          <w:rFonts w:eastAsia="Aptos" w:cs="Aptos"/>
        </w:rPr>
        <w:t>are especially powerful in</w:t>
      </w:r>
      <w:r w:rsidR="00DC34D0" w:rsidRPr="003752CB">
        <w:rPr>
          <w:rFonts w:eastAsia="Aptos" w:cs="Aptos"/>
        </w:rPr>
        <w:t xml:space="preserve"> bridg</w:t>
      </w:r>
      <w:r w:rsidR="00050A20" w:rsidRPr="003752CB">
        <w:rPr>
          <w:rFonts w:eastAsia="Aptos" w:cs="Aptos"/>
        </w:rPr>
        <w:t>ing</w:t>
      </w:r>
      <w:r w:rsidR="00DC34D0" w:rsidRPr="003752CB">
        <w:rPr>
          <w:rFonts w:eastAsia="Aptos" w:cs="Aptos"/>
        </w:rPr>
        <w:t xml:space="preserve"> the digital divide by addressing systemic barriers and creating</w:t>
      </w:r>
      <w:r w:rsidR="00050A20" w:rsidRPr="003752CB">
        <w:rPr>
          <w:rFonts w:eastAsia="Aptos" w:cs="Aptos"/>
        </w:rPr>
        <w:t xml:space="preserve"> inclusive</w:t>
      </w:r>
      <w:r w:rsidR="00DC34D0" w:rsidRPr="003752CB">
        <w:rPr>
          <w:rFonts w:eastAsia="Aptos" w:cs="Aptos"/>
        </w:rPr>
        <w:t xml:space="preserve"> pathways</w:t>
      </w:r>
      <w:r w:rsidR="004C5623" w:rsidRPr="003752CB">
        <w:rPr>
          <w:rFonts w:eastAsia="Aptos" w:cs="Aptos"/>
        </w:rPr>
        <w:t xml:space="preserve"> into</w:t>
      </w:r>
      <w:r w:rsidR="00DC34D0" w:rsidRPr="003752CB">
        <w:rPr>
          <w:rFonts w:eastAsia="Aptos" w:cs="Aptos"/>
        </w:rPr>
        <w:t xml:space="preserve"> the digital economy</w:t>
      </w:r>
      <w:r w:rsidR="0033648F" w:rsidRPr="003752CB">
        <w:rPr>
          <w:rStyle w:val="EndnoteReference"/>
          <w:rFonts w:eastAsia="Aptos" w:cs="Aptos"/>
        </w:rPr>
        <w:endnoteReference w:id="85"/>
      </w:r>
      <w:r w:rsidR="00DC34D0" w:rsidRPr="003752CB">
        <w:rPr>
          <w:rFonts w:eastAsia="Aptos" w:cs="Aptos"/>
        </w:rPr>
        <w:t>. </w:t>
      </w:r>
      <w:r w:rsidR="00E84BC5" w:rsidRPr="003752CB">
        <w:rPr>
          <w:rFonts w:eastAsia="Aptos" w:cs="Aptos"/>
        </w:rPr>
        <w:t>Facilitators play a pivotal role in this process: their ability to build rapport, adapt to learner contexts, and co-create learning experiences directly influences how programs are received and whether they succeed in empowering participants. Designing with</w:t>
      </w:r>
      <w:r w:rsidR="004C5623" w:rsidRPr="003752CB">
        <w:rPr>
          <w:rFonts w:eastAsia="Aptos" w:cs="Aptos"/>
        </w:rPr>
        <w:t xml:space="preserve"> </w:t>
      </w:r>
      <w:r w:rsidR="0041636D" w:rsidRPr="003752CB">
        <w:rPr>
          <w:rFonts w:eastAsia="Aptos" w:cs="Aptos"/>
        </w:rPr>
        <w:t xml:space="preserve">– </w:t>
      </w:r>
      <w:r w:rsidR="00E84BC5" w:rsidRPr="003752CB">
        <w:rPr>
          <w:rFonts w:eastAsia="Aptos" w:cs="Aptos"/>
        </w:rPr>
        <w:t>not just for</w:t>
      </w:r>
      <w:r w:rsidR="004C5623" w:rsidRPr="003752CB">
        <w:rPr>
          <w:rFonts w:eastAsia="Aptos" w:cs="Aptos"/>
        </w:rPr>
        <w:t xml:space="preserve"> </w:t>
      </w:r>
      <w:r w:rsidR="0041636D" w:rsidRPr="003752CB">
        <w:rPr>
          <w:rFonts w:eastAsia="Aptos" w:cs="Aptos"/>
        </w:rPr>
        <w:t>–</w:t>
      </w:r>
      <w:r w:rsidR="004C5623" w:rsidRPr="003752CB">
        <w:rPr>
          <w:rFonts w:eastAsia="Aptos" w:cs="Aptos"/>
        </w:rPr>
        <w:t xml:space="preserve"> </w:t>
      </w:r>
      <w:r w:rsidR="00E84BC5" w:rsidRPr="003752CB">
        <w:rPr>
          <w:rFonts w:eastAsia="Aptos" w:cs="Aptos"/>
        </w:rPr>
        <w:t>communities ensures that digital inclusion efforts are meaningful, equitable, and enduring.</w:t>
      </w:r>
    </w:p>
    <w:p w14:paraId="350BC489" w14:textId="65443FE3" w:rsidR="008E58C1" w:rsidRPr="003752CB" w:rsidRDefault="008E58C1" w:rsidP="001B4415">
      <w:pPr>
        <w:pStyle w:val="Heading3"/>
        <w:rPr>
          <w:rFonts w:eastAsia="Aptos"/>
        </w:rPr>
      </w:pPr>
      <w:r w:rsidRPr="003752CB">
        <w:rPr>
          <w:rFonts w:eastAsia="Aptos"/>
        </w:rPr>
        <w:t>Monitoring and Evaluating Impact</w:t>
      </w:r>
    </w:p>
    <w:p w14:paraId="04C834BD" w14:textId="126F6D2F" w:rsidR="00002160" w:rsidRPr="003752CB" w:rsidRDefault="008E58C1" w:rsidP="004A702F">
      <w:pPr>
        <w:rPr>
          <w:rFonts w:eastAsia="Aptos" w:cs="Aptos"/>
        </w:rPr>
      </w:pPr>
      <w:r w:rsidRPr="003752CB">
        <w:rPr>
          <w:rFonts w:eastAsia="Aptos" w:cs="Aptos"/>
        </w:rPr>
        <w:t xml:space="preserve">Effective monitoring and evaluation are </w:t>
      </w:r>
      <w:r w:rsidR="00670376" w:rsidRPr="003752CB">
        <w:rPr>
          <w:rFonts w:eastAsia="Aptos" w:cs="Aptos"/>
        </w:rPr>
        <w:t>essential</w:t>
      </w:r>
      <w:r w:rsidRPr="003752CB">
        <w:rPr>
          <w:rFonts w:eastAsia="Aptos" w:cs="Aptos"/>
        </w:rPr>
        <w:t xml:space="preserve"> to ensur</w:t>
      </w:r>
      <w:r w:rsidR="00670376" w:rsidRPr="003752CB">
        <w:rPr>
          <w:rFonts w:eastAsia="Aptos" w:cs="Aptos"/>
        </w:rPr>
        <w:t>e</w:t>
      </w:r>
      <w:r w:rsidRPr="003752CB">
        <w:rPr>
          <w:rFonts w:eastAsia="Aptos" w:cs="Aptos"/>
        </w:rPr>
        <w:t xml:space="preserve"> that programs are impactful</w:t>
      </w:r>
      <w:r w:rsidR="0013609E" w:rsidRPr="003752CB">
        <w:rPr>
          <w:rFonts w:eastAsia="Aptos" w:cs="Aptos"/>
        </w:rPr>
        <w:t xml:space="preserve"> and responsive.</w:t>
      </w:r>
      <w:r w:rsidRPr="003752CB">
        <w:rPr>
          <w:rFonts w:eastAsia="Aptos" w:cs="Aptos"/>
        </w:rPr>
        <w:t xml:space="preserve"> A </w:t>
      </w:r>
      <w:r w:rsidR="00772592" w:rsidRPr="003752CB">
        <w:rPr>
          <w:rFonts w:eastAsia="Aptos" w:cs="Aptos"/>
        </w:rPr>
        <w:t>strong</w:t>
      </w:r>
      <w:r w:rsidRPr="003752CB">
        <w:rPr>
          <w:rFonts w:eastAsia="Aptos" w:cs="Aptos"/>
        </w:rPr>
        <w:t xml:space="preserve"> evaluation framework </w:t>
      </w:r>
      <w:r w:rsidR="00857D56" w:rsidRPr="003752CB">
        <w:rPr>
          <w:rFonts w:eastAsia="Aptos" w:cs="Aptos"/>
        </w:rPr>
        <w:t>helps individual participants assess and understand their</w:t>
      </w:r>
      <w:r w:rsidR="008A27C1" w:rsidRPr="003752CB">
        <w:rPr>
          <w:rFonts w:eastAsia="Aptos" w:cs="Aptos"/>
        </w:rPr>
        <w:t xml:space="preserve"> </w:t>
      </w:r>
      <w:r w:rsidR="007911F7" w:rsidRPr="003752CB">
        <w:rPr>
          <w:rFonts w:eastAsia="Aptos" w:cs="Aptos"/>
        </w:rPr>
        <w:t>progress and</w:t>
      </w:r>
      <w:r w:rsidR="00916422" w:rsidRPr="003752CB">
        <w:rPr>
          <w:rFonts w:eastAsia="Aptos" w:cs="Aptos"/>
        </w:rPr>
        <w:t xml:space="preserve"> ensures organizations can demonstrate </w:t>
      </w:r>
      <w:r w:rsidR="00F33FC4" w:rsidRPr="003752CB">
        <w:rPr>
          <w:rFonts w:eastAsia="Aptos" w:cs="Aptos"/>
        </w:rPr>
        <w:t xml:space="preserve">program </w:t>
      </w:r>
      <w:r w:rsidR="00CB1531" w:rsidRPr="003752CB">
        <w:rPr>
          <w:rFonts w:eastAsia="Aptos" w:cs="Aptos"/>
        </w:rPr>
        <w:t xml:space="preserve">success and </w:t>
      </w:r>
      <w:r w:rsidR="00EF2ED9" w:rsidRPr="003752CB">
        <w:rPr>
          <w:rFonts w:eastAsia="Aptos" w:cs="Aptos"/>
        </w:rPr>
        <w:t>address gaps</w:t>
      </w:r>
      <w:r w:rsidR="00BA230B" w:rsidRPr="003752CB">
        <w:rPr>
          <w:rFonts w:eastAsia="Aptos" w:cs="Aptos"/>
        </w:rPr>
        <w:t>. Ideally, evaluation frameworks</w:t>
      </w:r>
      <w:r w:rsidRPr="003752CB">
        <w:rPr>
          <w:rFonts w:eastAsia="Aptos" w:cs="Aptos"/>
        </w:rPr>
        <w:t xml:space="preserve"> should inc</w:t>
      </w:r>
      <w:r w:rsidR="00772592" w:rsidRPr="003752CB">
        <w:rPr>
          <w:rFonts w:eastAsia="Aptos" w:cs="Aptos"/>
        </w:rPr>
        <w:t>orporate</w:t>
      </w:r>
      <w:r w:rsidRPr="003752CB">
        <w:rPr>
          <w:rFonts w:eastAsia="Aptos" w:cs="Aptos"/>
        </w:rPr>
        <w:t xml:space="preserve"> both quantitative and qualitative </w:t>
      </w:r>
      <w:r w:rsidR="00772592" w:rsidRPr="003752CB">
        <w:rPr>
          <w:rFonts w:eastAsia="Aptos" w:cs="Aptos"/>
        </w:rPr>
        <w:t>data</w:t>
      </w:r>
      <w:r w:rsidRPr="003752CB">
        <w:rPr>
          <w:rFonts w:eastAsia="Aptos" w:cs="Aptos"/>
        </w:rPr>
        <w:t xml:space="preserve"> </w:t>
      </w:r>
      <w:r w:rsidR="005B575E" w:rsidRPr="003752CB">
        <w:rPr>
          <w:rFonts w:eastAsia="Aptos" w:cs="Aptos"/>
        </w:rPr>
        <w:t>to provide a well-rounded understanding</w:t>
      </w:r>
      <w:r w:rsidRPr="003752CB">
        <w:rPr>
          <w:rFonts w:eastAsia="Aptos" w:cs="Aptos"/>
        </w:rPr>
        <w:t xml:space="preserve"> of program outcomes. </w:t>
      </w:r>
      <w:r w:rsidR="00E41C80" w:rsidRPr="003752CB">
        <w:rPr>
          <w:rFonts w:eastAsia="Aptos" w:cs="Aptos"/>
        </w:rPr>
        <w:t xml:space="preserve">For self-directed learners, </w:t>
      </w:r>
      <w:r w:rsidR="008500F1" w:rsidRPr="003752CB">
        <w:rPr>
          <w:rFonts w:eastAsia="Aptos" w:cs="Aptos"/>
        </w:rPr>
        <w:t>their individual</w:t>
      </w:r>
      <w:r w:rsidR="00A35BC1" w:rsidRPr="003752CB">
        <w:rPr>
          <w:rFonts w:eastAsia="Aptos" w:cs="Aptos"/>
        </w:rPr>
        <w:t>ized</w:t>
      </w:r>
      <w:r w:rsidR="008500F1" w:rsidRPr="003752CB">
        <w:rPr>
          <w:rFonts w:eastAsia="Aptos" w:cs="Aptos"/>
        </w:rPr>
        <w:t xml:space="preserve"> training plans and personal goals should be evaluated using success metrics </w:t>
      </w:r>
      <w:r w:rsidR="00733A13" w:rsidRPr="003752CB">
        <w:rPr>
          <w:rFonts w:eastAsia="Aptos" w:cs="Aptos"/>
        </w:rPr>
        <w:t>that are</w:t>
      </w:r>
      <w:r w:rsidR="008500F1" w:rsidRPr="003752CB">
        <w:rPr>
          <w:rFonts w:eastAsia="Aptos" w:cs="Aptos"/>
        </w:rPr>
        <w:t xml:space="preserve"> determined </w:t>
      </w:r>
      <w:r w:rsidR="00376111" w:rsidRPr="003752CB">
        <w:rPr>
          <w:rFonts w:eastAsia="Aptos" w:cs="Aptos"/>
        </w:rPr>
        <w:t>collaboratively with coaches or instructors.</w:t>
      </w:r>
    </w:p>
    <w:p w14:paraId="28E19EF6" w14:textId="1D9D613A" w:rsidR="002B54CE" w:rsidRPr="003752CB" w:rsidRDefault="005B575E" w:rsidP="004A702F">
      <w:pPr>
        <w:rPr>
          <w:rFonts w:eastAsia="Aptos" w:cs="Aptos"/>
        </w:rPr>
      </w:pPr>
      <w:r w:rsidRPr="003752CB">
        <w:rPr>
          <w:rFonts w:eastAsia="Aptos" w:cs="Aptos"/>
        </w:rPr>
        <w:t>Quantitative data refers to measurable, numerical</w:t>
      </w:r>
      <w:r w:rsidR="002119C6" w:rsidRPr="003752CB">
        <w:rPr>
          <w:rFonts w:eastAsia="Aptos" w:cs="Aptos"/>
        </w:rPr>
        <w:t xml:space="preserve"> or statistical</w:t>
      </w:r>
      <w:r w:rsidRPr="003752CB">
        <w:rPr>
          <w:rFonts w:eastAsia="Aptos" w:cs="Aptos"/>
        </w:rPr>
        <w:t xml:space="preserve"> indicators that can be tracked over time. </w:t>
      </w:r>
      <w:r w:rsidR="008E58C1" w:rsidRPr="003752CB">
        <w:rPr>
          <w:rFonts w:eastAsia="Aptos" w:cs="Aptos"/>
        </w:rPr>
        <w:t>Examples of</w:t>
      </w:r>
      <w:r w:rsidR="0030143C" w:rsidRPr="003752CB">
        <w:rPr>
          <w:rFonts w:eastAsia="Aptos" w:cs="Aptos"/>
        </w:rPr>
        <w:t xml:space="preserve"> quantitative</w:t>
      </w:r>
      <w:r w:rsidR="008E58C1" w:rsidRPr="003752CB">
        <w:rPr>
          <w:rFonts w:eastAsia="Aptos" w:cs="Aptos"/>
        </w:rPr>
        <w:t xml:space="preserve"> indicators to track progress include </w:t>
      </w:r>
      <w:r w:rsidR="00DB62A3" w:rsidRPr="003752CB">
        <w:rPr>
          <w:rFonts w:eastAsia="Aptos" w:cs="Aptos"/>
        </w:rPr>
        <w:t xml:space="preserve">levels of </w:t>
      </w:r>
      <w:r w:rsidR="008E58C1" w:rsidRPr="003752CB">
        <w:rPr>
          <w:rFonts w:eastAsia="Aptos" w:cs="Aptos"/>
        </w:rPr>
        <w:t xml:space="preserve">digital confidence, </w:t>
      </w:r>
      <w:r w:rsidR="00DB62A3" w:rsidRPr="003752CB">
        <w:rPr>
          <w:rFonts w:eastAsia="Aptos" w:cs="Aptos"/>
        </w:rPr>
        <w:t>number of digital skills acquired</w:t>
      </w:r>
      <w:r w:rsidR="008E58C1" w:rsidRPr="003752CB">
        <w:rPr>
          <w:rFonts w:eastAsia="Aptos" w:cs="Aptos"/>
        </w:rPr>
        <w:t xml:space="preserve">, and employment and education outcomes. These </w:t>
      </w:r>
      <w:r w:rsidR="00DB62A3" w:rsidRPr="003752CB">
        <w:rPr>
          <w:rFonts w:eastAsia="Aptos" w:cs="Aptos"/>
        </w:rPr>
        <w:t>metrics</w:t>
      </w:r>
      <w:r w:rsidR="003B2F32" w:rsidRPr="003752CB">
        <w:rPr>
          <w:rFonts w:eastAsia="Aptos" w:cs="Aptos"/>
        </w:rPr>
        <w:t xml:space="preserve"> allow for standardized comparisons</w:t>
      </w:r>
      <w:r w:rsidR="008E58C1" w:rsidRPr="003752CB">
        <w:rPr>
          <w:rFonts w:eastAsia="Aptos" w:cs="Aptos"/>
        </w:rPr>
        <w:t xml:space="preserve"> across programs and </w:t>
      </w:r>
      <w:r w:rsidR="003B2F32" w:rsidRPr="003752CB">
        <w:rPr>
          <w:rFonts w:eastAsia="Aptos" w:cs="Aptos"/>
        </w:rPr>
        <w:t>help demonstrate</w:t>
      </w:r>
      <w:r w:rsidR="008E58C1" w:rsidRPr="003752CB">
        <w:rPr>
          <w:rFonts w:eastAsia="Aptos" w:cs="Aptos"/>
        </w:rPr>
        <w:t xml:space="preserve"> impact to funders and stakeholders</w:t>
      </w:r>
      <w:r w:rsidR="003A538C" w:rsidRPr="003752CB">
        <w:rPr>
          <w:rStyle w:val="EndnoteReference"/>
          <w:rFonts w:eastAsia="Aptos" w:cs="Aptos"/>
        </w:rPr>
        <w:endnoteReference w:id="86"/>
      </w:r>
      <w:r w:rsidR="008E58C1" w:rsidRPr="003752CB">
        <w:rPr>
          <w:rFonts w:eastAsia="Aptos" w:cs="Aptos"/>
        </w:rPr>
        <w:t xml:space="preserve">. </w:t>
      </w:r>
    </w:p>
    <w:p w14:paraId="4ADC7A1B" w14:textId="7529CEF8" w:rsidR="00002160" w:rsidRPr="003752CB" w:rsidRDefault="008E58C1" w:rsidP="004A702F">
      <w:pPr>
        <w:rPr>
          <w:rFonts w:eastAsia="Aptos" w:cs="Aptos"/>
        </w:rPr>
      </w:pPr>
      <w:r w:rsidRPr="003752CB">
        <w:rPr>
          <w:rFonts w:eastAsia="Aptos" w:cs="Aptos"/>
        </w:rPr>
        <w:t xml:space="preserve">Qualitative </w:t>
      </w:r>
      <w:r w:rsidR="00834EA9" w:rsidRPr="003752CB">
        <w:rPr>
          <w:rFonts w:eastAsia="Aptos" w:cs="Aptos"/>
        </w:rPr>
        <w:t>data, on the other hand, captures the depth and nuance of participants’ experiences.</w:t>
      </w:r>
      <w:r w:rsidRPr="003752CB">
        <w:rPr>
          <w:rFonts w:eastAsia="Aptos" w:cs="Aptos"/>
        </w:rPr>
        <w:t xml:space="preserve"> </w:t>
      </w:r>
      <w:r w:rsidR="00834EA9" w:rsidRPr="003752CB">
        <w:rPr>
          <w:rFonts w:eastAsia="Aptos" w:cs="Aptos"/>
        </w:rPr>
        <w:t xml:space="preserve">It can </w:t>
      </w:r>
      <w:r w:rsidRPr="003752CB">
        <w:rPr>
          <w:rFonts w:eastAsia="Aptos" w:cs="Aptos"/>
        </w:rPr>
        <w:t xml:space="preserve">be </w:t>
      </w:r>
      <w:r w:rsidR="00834EA9" w:rsidRPr="003752CB">
        <w:rPr>
          <w:rFonts w:eastAsia="Aptos" w:cs="Aptos"/>
        </w:rPr>
        <w:t>gathered</w:t>
      </w:r>
      <w:r w:rsidRPr="003752CB">
        <w:rPr>
          <w:rFonts w:eastAsia="Aptos" w:cs="Aptos"/>
        </w:rPr>
        <w:t xml:space="preserve"> through interviews, focus groups, and open-ended </w:t>
      </w:r>
      <w:r w:rsidRPr="003752CB">
        <w:rPr>
          <w:rFonts w:eastAsia="Aptos" w:cs="Aptos"/>
        </w:rPr>
        <w:lastRenderedPageBreak/>
        <w:t>surveys. This feedback can reveal barriers, cultural considerations, and suggestions for improvement that may not be captured through standardized assessments</w:t>
      </w:r>
      <w:r w:rsidR="003A538C" w:rsidRPr="003752CB">
        <w:rPr>
          <w:rStyle w:val="EndnoteReference"/>
          <w:rFonts w:eastAsia="Aptos" w:cs="Aptos"/>
        </w:rPr>
        <w:endnoteReference w:customMarkFollows="1" w:id="87"/>
        <w:t>70</w:t>
      </w:r>
      <w:r w:rsidRPr="003752CB">
        <w:rPr>
          <w:rFonts w:eastAsia="Aptos" w:cs="Aptos"/>
        </w:rPr>
        <w:t>.</w:t>
      </w:r>
    </w:p>
    <w:p w14:paraId="100CBEF2" w14:textId="7C392DF3" w:rsidR="00445060" w:rsidRPr="003752CB" w:rsidRDefault="008E58C1" w:rsidP="004A702F">
      <w:pPr>
        <w:rPr>
          <w:rFonts w:eastAsia="Aptos" w:cs="Aptos"/>
        </w:rPr>
      </w:pPr>
      <w:r w:rsidRPr="003752CB">
        <w:rPr>
          <w:rFonts w:eastAsia="Aptos" w:cs="Aptos"/>
        </w:rPr>
        <w:t xml:space="preserve">Evaluation should be an ongoing process that informs program refinement. For example, feedback from </w:t>
      </w:r>
      <w:r w:rsidR="00986544" w:rsidRPr="003752CB">
        <w:rPr>
          <w:rFonts w:eastAsia="Aptos" w:cs="Aptos"/>
        </w:rPr>
        <w:t>program participants with disabilities</w:t>
      </w:r>
      <w:r w:rsidRPr="003752CB">
        <w:rPr>
          <w:rFonts w:eastAsia="Aptos" w:cs="Aptos"/>
        </w:rPr>
        <w:t xml:space="preserve"> can guide adaptations that make programs more accessible. This iterative approach ensures that digital </w:t>
      </w:r>
      <w:r w:rsidR="000B5BF3" w:rsidRPr="003752CB">
        <w:rPr>
          <w:rFonts w:eastAsia="Aptos" w:cs="Aptos"/>
        </w:rPr>
        <w:t>skills initiatives</w:t>
      </w:r>
      <w:r w:rsidRPr="003752CB">
        <w:rPr>
          <w:rFonts w:eastAsia="Aptos" w:cs="Aptos"/>
        </w:rPr>
        <w:t xml:space="preserve"> remain aligned with community needs and values</w:t>
      </w:r>
      <w:r w:rsidR="003A538C" w:rsidRPr="003752CB">
        <w:rPr>
          <w:rStyle w:val="EndnoteReference"/>
          <w:rFonts w:eastAsia="Aptos" w:cs="Aptos"/>
        </w:rPr>
        <w:endnoteReference w:customMarkFollows="1" w:id="88"/>
        <w:t>70</w:t>
      </w:r>
      <w:r w:rsidRPr="003752CB">
        <w:rPr>
          <w:rFonts w:eastAsia="Aptos" w:cs="Aptos"/>
        </w:rPr>
        <w:t>.</w:t>
      </w:r>
    </w:p>
    <w:p w14:paraId="1D74DF09" w14:textId="02370DFF" w:rsidR="0002518F" w:rsidRPr="003752CB" w:rsidRDefault="00527CF2" w:rsidP="004A702F">
      <w:pPr>
        <w:rPr>
          <w:rFonts w:eastAsia="Aptos" w:cs="Aptos"/>
          <w:i/>
        </w:rPr>
      </w:pPr>
      <w:r w:rsidRPr="003752CB">
        <w:rPr>
          <w:rFonts w:eastAsia="Aptos" w:cs="Aptos"/>
          <w:i/>
          <w:iCs/>
        </w:rPr>
        <w:t xml:space="preserve">CCRW clients </w:t>
      </w:r>
      <w:r w:rsidR="00CB7050" w:rsidRPr="003752CB">
        <w:rPr>
          <w:rFonts w:eastAsia="Aptos" w:cs="Aptos"/>
          <w:i/>
          <w:iCs/>
        </w:rPr>
        <w:t xml:space="preserve">build digital skills through eLearning and </w:t>
      </w:r>
      <w:r w:rsidR="00D0650B" w:rsidRPr="003752CB">
        <w:rPr>
          <w:rFonts w:eastAsia="Aptos" w:cs="Aptos"/>
          <w:i/>
          <w:iCs/>
        </w:rPr>
        <w:t>individualized coaching</w:t>
      </w:r>
    </w:p>
    <w:p w14:paraId="55417C00" w14:textId="2EEEA1CD" w:rsidR="00DE3002" w:rsidRPr="003752CB" w:rsidRDefault="00640980" w:rsidP="00BE7F03">
      <w:pPr>
        <w:rPr>
          <w:rFonts w:eastAsia="Aptos" w:cs="Aptos"/>
        </w:rPr>
      </w:pPr>
      <w:r w:rsidRPr="003752CB">
        <w:t xml:space="preserve">In 2022, CCRW began developing skills training for job seekers and workers with disabilities. Funded by the Government of Canada’s Skills for Success program, CCRW created a comprehensive eLearning platform with over 70 trainings, including </w:t>
      </w:r>
      <w:r w:rsidR="009B1E84" w:rsidRPr="003752CB">
        <w:t>6</w:t>
      </w:r>
      <w:r w:rsidR="00B9764D" w:rsidRPr="003752CB">
        <w:t xml:space="preserve"> focused on digital skills</w:t>
      </w:r>
      <w:r w:rsidR="009B1E84" w:rsidRPr="003752CB">
        <w:t xml:space="preserve"> like </w:t>
      </w:r>
      <w:r w:rsidR="00A919EA" w:rsidRPr="003752CB">
        <w:t>using Microsoft Word</w:t>
      </w:r>
      <w:r w:rsidR="009B1E84" w:rsidRPr="003752CB">
        <w:t>,</w:t>
      </w:r>
      <w:r w:rsidR="00A919EA" w:rsidRPr="003752CB">
        <w:t xml:space="preserve"> safe </w:t>
      </w:r>
      <w:r w:rsidR="00EE03D2" w:rsidRPr="003752CB">
        <w:t>Internet</w:t>
      </w:r>
      <w:r w:rsidR="00A919EA" w:rsidRPr="003752CB">
        <w:t xml:space="preserve"> navigation,</w:t>
      </w:r>
      <w:r w:rsidR="009B1E84" w:rsidRPr="003752CB">
        <w:t xml:space="preserve"> and </w:t>
      </w:r>
      <w:r w:rsidR="00291241" w:rsidRPr="003752CB">
        <w:t>creating a professional digital footprint</w:t>
      </w:r>
      <w:r w:rsidR="009B1E84" w:rsidRPr="003752CB">
        <w:t>.</w:t>
      </w:r>
      <w:r w:rsidR="00503C88" w:rsidRPr="003752CB">
        <w:t xml:space="preserve"> With a comprehensive catalog of transferable skills trainings</w:t>
      </w:r>
      <w:r w:rsidR="0042157F" w:rsidRPr="003752CB">
        <w:t xml:space="preserve">, users can also build interconnected skills </w:t>
      </w:r>
      <w:r w:rsidR="005F3F06" w:rsidRPr="003752CB">
        <w:t xml:space="preserve">in core domains like communication and writing; for example, </w:t>
      </w:r>
      <w:r w:rsidR="00047F45" w:rsidRPr="003752CB">
        <w:t>how to write effective professional emails</w:t>
      </w:r>
      <w:r w:rsidR="001A2FD5" w:rsidRPr="003752CB">
        <w:t>.</w:t>
      </w:r>
      <w:r w:rsidR="00EF51C4" w:rsidRPr="003752CB">
        <w:t xml:space="preserve"> </w:t>
      </w:r>
      <w:r w:rsidR="00081822" w:rsidRPr="003752CB">
        <w:rPr>
          <w:rFonts w:eastAsia="Aptos" w:cs="Aptos"/>
        </w:rPr>
        <w:t xml:space="preserve">Job seekers with disabilities </w:t>
      </w:r>
      <w:r w:rsidR="00B81A9C" w:rsidRPr="003752CB">
        <w:rPr>
          <w:rFonts w:eastAsia="Aptos" w:cs="Aptos"/>
        </w:rPr>
        <w:t xml:space="preserve">work together with CCRW’s Employment Services staff to create </w:t>
      </w:r>
      <w:r w:rsidR="009A4E7A" w:rsidRPr="003752CB">
        <w:rPr>
          <w:rFonts w:eastAsia="Aptos" w:cs="Aptos"/>
        </w:rPr>
        <w:t xml:space="preserve">personalized training and job search </w:t>
      </w:r>
      <w:r w:rsidR="00C22C2B" w:rsidRPr="003752CB">
        <w:rPr>
          <w:rFonts w:eastAsia="Aptos" w:cs="Aptos"/>
        </w:rPr>
        <w:t xml:space="preserve">plans. </w:t>
      </w:r>
      <w:r w:rsidR="00DF09DC" w:rsidRPr="003752CB">
        <w:rPr>
          <w:rFonts w:eastAsia="Aptos" w:cs="Aptos"/>
        </w:rPr>
        <w:t xml:space="preserve">With a </w:t>
      </w:r>
      <w:r w:rsidR="00F72375" w:rsidRPr="003752CB">
        <w:rPr>
          <w:rFonts w:eastAsia="Aptos" w:cs="Aptos"/>
        </w:rPr>
        <w:t xml:space="preserve">large </w:t>
      </w:r>
      <w:r w:rsidR="00C733DB" w:rsidRPr="003752CB">
        <w:rPr>
          <w:rFonts w:eastAsia="Aptos" w:cs="Aptos"/>
        </w:rPr>
        <w:t>library</w:t>
      </w:r>
      <w:r w:rsidR="00F72375" w:rsidRPr="003752CB">
        <w:rPr>
          <w:rFonts w:eastAsia="Aptos" w:cs="Aptos"/>
        </w:rPr>
        <w:t xml:space="preserve"> of </w:t>
      </w:r>
      <w:r w:rsidR="00C733DB" w:rsidRPr="003752CB">
        <w:rPr>
          <w:rFonts w:eastAsia="Aptos" w:cs="Aptos"/>
        </w:rPr>
        <w:t xml:space="preserve">modular, accessible </w:t>
      </w:r>
      <w:r w:rsidR="00F72375" w:rsidRPr="003752CB">
        <w:rPr>
          <w:rFonts w:eastAsia="Aptos" w:cs="Aptos"/>
        </w:rPr>
        <w:t xml:space="preserve">courses to choose from, clients can </w:t>
      </w:r>
      <w:r w:rsidR="009225EB" w:rsidRPr="003752CB">
        <w:rPr>
          <w:rFonts w:eastAsia="Aptos" w:cs="Aptos"/>
        </w:rPr>
        <w:t xml:space="preserve">build </w:t>
      </w:r>
      <w:r w:rsidR="000447AD" w:rsidRPr="003752CB">
        <w:rPr>
          <w:rFonts w:eastAsia="Aptos" w:cs="Aptos"/>
        </w:rPr>
        <w:t xml:space="preserve">skills </w:t>
      </w:r>
      <w:r w:rsidR="002E54B0" w:rsidRPr="003752CB">
        <w:rPr>
          <w:rFonts w:eastAsia="Aptos" w:cs="Aptos"/>
        </w:rPr>
        <w:t xml:space="preserve">in the </w:t>
      </w:r>
      <w:r w:rsidR="000447AD" w:rsidRPr="003752CB">
        <w:rPr>
          <w:rFonts w:eastAsia="Aptos" w:cs="Aptos"/>
        </w:rPr>
        <w:t xml:space="preserve">areas </w:t>
      </w:r>
      <w:r w:rsidR="002E54B0" w:rsidRPr="003752CB">
        <w:rPr>
          <w:rFonts w:eastAsia="Aptos" w:cs="Aptos"/>
        </w:rPr>
        <w:t>most relevant</w:t>
      </w:r>
      <w:r w:rsidR="00E74337" w:rsidRPr="003752CB">
        <w:rPr>
          <w:rFonts w:eastAsia="Aptos" w:cs="Aptos"/>
        </w:rPr>
        <w:t xml:space="preserve"> </w:t>
      </w:r>
      <w:r w:rsidR="000447AD" w:rsidRPr="003752CB">
        <w:rPr>
          <w:rFonts w:eastAsia="Aptos" w:cs="Aptos"/>
        </w:rPr>
        <w:t>to</w:t>
      </w:r>
      <w:r w:rsidR="00E74337" w:rsidRPr="003752CB">
        <w:rPr>
          <w:rFonts w:eastAsia="Aptos" w:cs="Aptos"/>
        </w:rPr>
        <w:t xml:space="preserve"> their </w:t>
      </w:r>
      <w:r w:rsidR="00C71882" w:rsidRPr="003752CB">
        <w:rPr>
          <w:rFonts w:eastAsia="Aptos" w:cs="Aptos"/>
        </w:rPr>
        <w:t>own career journeys.</w:t>
      </w:r>
    </w:p>
    <w:p w14:paraId="48A30DDD" w14:textId="696621BC" w:rsidR="000447AD" w:rsidRPr="003752CB" w:rsidRDefault="00105599" w:rsidP="00BE7F03">
      <w:pPr>
        <w:rPr>
          <w:rFonts w:eastAsia="Aptos" w:cs="Aptos"/>
        </w:rPr>
      </w:pPr>
      <w:r w:rsidRPr="003752CB">
        <w:rPr>
          <w:rFonts w:eastAsia="Aptos" w:cs="Aptos"/>
        </w:rPr>
        <w:t xml:space="preserve">Pre- and post-course evaluations </w:t>
      </w:r>
      <w:r w:rsidR="008D2CCA" w:rsidRPr="003752CB">
        <w:rPr>
          <w:rFonts w:eastAsia="Aptos" w:cs="Aptos"/>
        </w:rPr>
        <w:t>from</w:t>
      </w:r>
      <w:r w:rsidR="00296355" w:rsidRPr="003752CB">
        <w:rPr>
          <w:rFonts w:eastAsia="Aptos" w:cs="Aptos"/>
        </w:rPr>
        <w:t xml:space="preserve"> </w:t>
      </w:r>
      <w:r w:rsidR="007C2D5C" w:rsidRPr="003752CB">
        <w:rPr>
          <w:rFonts w:eastAsia="Aptos" w:cs="Aptos"/>
        </w:rPr>
        <w:t xml:space="preserve">clients </w:t>
      </w:r>
      <w:r w:rsidR="008D2CCA" w:rsidRPr="003752CB">
        <w:rPr>
          <w:rFonts w:eastAsia="Aptos" w:cs="Aptos"/>
        </w:rPr>
        <w:t xml:space="preserve">who used CCRW’s Digital Skills courses showed </w:t>
      </w:r>
      <w:r w:rsidR="00DD4198" w:rsidRPr="003752CB">
        <w:rPr>
          <w:rFonts w:eastAsia="Aptos" w:cs="Aptos"/>
        </w:rPr>
        <w:t xml:space="preserve">an average </w:t>
      </w:r>
      <w:r w:rsidR="006466F4" w:rsidRPr="003752CB">
        <w:rPr>
          <w:rFonts w:eastAsia="Aptos" w:cs="Aptos"/>
        </w:rPr>
        <w:t xml:space="preserve">improvement of over 18 percentage points on core learning outcomes like </w:t>
      </w:r>
      <w:r w:rsidR="00C5740E" w:rsidRPr="003752CB">
        <w:rPr>
          <w:rFonts w:eastAsia="Aptos" w:cs="Aptos"/>
        </w:rPr>
        <w:t>using Microsoft Word to build a resume;</w:t>
      </w:r>
      <w:r w:rsidR="00065E78" w:rsidRPr="003752CB">
        <w:rPr>
          <w:rFonts w:eastAsia="Aptos" w:cs="Aptos"/>
        </w:rPr>
        <w:t xml:space="preserve"> </w:t>
      </w:r>
      <w:r w:rsidR="00FB0705" w:rsidRPr="003752CB">
        <w:rPr>
          <w:rFonts w:eastAsia="Aptos" w:cs="Aptos"/>
        </w:rPr>
        <w:t>applying strategies to keep personal data secure</w:t>
      </w:r>
      <w:r w:rsidR="00C5740E" w:rsidRPr="003752CB">
        <w:rPr>
          <w:rFonts w:eastAsia="Aptos" w:cs="Aptos"/>
        </w:rPr>
        <w:t>; and using</w:t>
      </w:r>
      <w:r w:rsidR="00F12B11" w:rsidRPr="003752CB">
        <w:rPr>
          <w:rFonts w:eastAsia="Aptos" w:cs="Aptos"/>
        </w:rPr>
        <w:t xml:space="preserve"> social media networks to find job opportunities</w:t>
      </w:r>
      <w:r w:rsidR="000561B8" w:rsidRPr="003752CB">
        <w:rPr>
          <w:rFonts w:eastAsia="Aptos" w:cs="Aptos"/>
        </w:rPr>
        <w:t>.</w:t>
      </w:r>
    </w:p>
    <w:p w14:paraId="77BCCD9B" w14:textId="66EEC1AD" w:rsidR="00686BAC" w:rsidRPr="003752CB" w:rsidRDefault="00686BAC" w:rsidP="00BE7F03">
      <w:pPr>
        <w:rPr>
          <w:rFonts w:eastAsia="Aptos" w:cs="Aptos"/>
        </w:rPr>
      </w:pPr>
      <w:r w:rsidRPr="003752CB">
        <w:rPr>
          <w:rFonts w:eastAsia="Aptos" w:cs="Aptos"/>
        </w:rPr>
        <w:t xml:space="preserve">You can learn more about CCRW’s eLearning courses for job seekers with disabilities here: </w:t>
      </w:r>
      <w:hyperlink r:id="rId11" w:history="1">
        <w:r w:rsidRPr="003752CB">
          <w:rPr>
            <w:rStyle w:val="Hyperlink"/>
            <w:rFonts w:eastAsia="Aptos" w:cs="Aptos"/>
          </w:rPr>
          <w:t>https://ccrw.org/resource/elearning-courses/</w:t>
        </w:r>
      </w:hyperlink>
    </w:p>
    <w:p w14:paraId="6175B408" w14:textId="464DCE0A" w:rsidR="00986544" w:rsidRPr="003752CB" w:rsidRDefault="00BC0146" w:rsidP="001353DC">
      <w:pPr>
        <w:pStyle w:val="Heading1"/>
        <w:rPr>
          <w:rFonts w:eastAsia="Aptos" w:cs="Aptos"/>
          <w:b/>
          <w:bCs/>
          <w:color w:val="156082" w:themeColor="accent1"/>
          <w:u w:val="single"/>
        </w:rPr>
      </w:pPr>
      <w:r w:rsidRPr="003752CB">
        <w:rPr>
          <w:rFonts w:eastAsia="Aptos"/>
        </w:rPr>
        <w:t>A Call to Action</w:t>
      </w:r>
    </w:p>
    <w:p w14:paraId="5CF57680" w14:textId="16ACD3DE" w:rsidR="0040727E" w:rsidRPr="003752CB" w:rsidRDefault="0040727E" w:rsidP="001353DC">
      <w:pPr>
        <w:rPr>
          <w:rFonts w:eastAsia="Aptos" w:cs="Aptos"/>
        </w:rPr>
      </w:pPr>
      <w:r w:rsidRPr="003752CB">
        <w:rPr>
          <w:rFonts w:eastAsia="Aptos" w:cs="Aptos"/>
        </w:rPr>
        <w:t>As the labour market continues to</w:t>
      </w:r>
      <w:r w:rsidR="007A4174" w:rsidRPr="003752CB">
        <w:rPr>
          <w:rFonts w:eastAsia="Aptos" w:cs="Aptos"/>
        </w:rPr>
        <w:t xml:space="preserve"> digitize</w:t>
      </w:r>
      <w:r w:rsidRPr="003752CB">
        <w:rPr>
          <w:rFonts w:eastAsia="Aptos" w:cs="Aptos"/>
        </w:rPr>
        <w:t xml:space="preserve">, the demand for digital </w:t>
      </w:r>
      <w:r w:rsidR="005C49BB" w:rsidRPr="003752CB">
        <w:rPr>
          <w:rFonts w:eastAsia="Aptos" w:cs="Aptos"/>
        </w:rPr>
        <w:t xml:space="preserve">skills </w:t>
      </w:r>
      <w:r w:rsidRPr="003752CB">
        <w:rPr>
          <w:rFonts w:eastAsia="Aptos" w:cs="Aptos"/>
        </w:rPr>
        <w:t xml:space="preserve">is </w:t>
      </w:r>
      <w:r w:rsidR="007A4174" w:rsidRPr="003752CB">
        <w:rPr>
          <w:rFonts w:eastAsia="Aptos" w:cs="Aptos"/>
        </w:rPr>
        <w:t>growing across</w:t>
      </w:r>
      <w:r w:rsidRPr="003752CB">
        <w:rPr>
          <w:rFonts w:eastAsia="Aptos" w:cs="Aptos"/>
        </w:rPr>
        <w:t xml:space="preserve"> sectors</w:t>
      </w:r>
      <w:r w:rsidR="005C49BB" w:rsidRPr="003752CB">
        <w:rPr>
          <w:rFonts w:eastAsia="Aptos" w:cs="Aptos"/>
        </w:rPr>
        <w:t>, but</w:t>
      </w:r>
      <w:r w:rsidRPr="003752CB">
        <w:rPr>
          <w:rFonts w:eastAsia="Aptos" w:cs="Aptos"/>
        </w:rPr>
        <w:t xml:space="preserve"> persons with disabilities</w:t>
      </w:r>
      <w:r w:rsidR="005C49BB" w:rsidRPr="003752CB">
        <w:rPr>
          <w:rFonts w:eastAsia="Aptos" w:cs="Aptos"/>
        </w:rPr>
        <w:t xml:space="preserve"> </w:t>
      </w:r>
      <w:r w:rsidR="00B61FA1" w:rsidRPr="003752CB">
        <w:rPr>
          <w:rFonts w:eastAsia="Aptos" w:cs="Aptos"/>
        </w:rPr>
        <w:t>still</w:t>
      </w:r>
      <w:r w:rsidR="00F04113" w:rsidRPr="003752CB">
        <w:rPr>
          <w:rFonts w:eastAsia="Aptos" w:cs="Aptos"/>
        </w:rPr>
        <w:t xml:space="preserve"> encounter significant barriers</w:t>
      </w:r>
      <w:r w:rsidRPr="003752CB">
        <w:rPr>
          <w:rFonts w:eastAsia="Aptos" w:cs="Aptos"/>
        </w:rPr>
        <w:t xml:space="preserve"> accessing the digital economy. The digital disability divid</w:t>
      </w:r>
      <w:r w:rsidR="00F04113" w:rsidRPr="003752CB">
        <w:rPr>
          <w:rFonts w:eastAsia="Aptos" w:cs="Aptos"/>
        </w:rPr>
        <w:t>e, characterized</w:t>
      </w:r>
      <w:r w:rsidRPr="003752CB">
        <w:rPr>
          <w:rFonts w:eastAsia="Aptos" w:cs="Aptos"/>
        </w:rPr>
        <w:t xml:space="preserve"> by gaps in both infrastructure</w:t>
      </w:r>
      <w:r w:rsidR="00F04113" w:rsidRPr="003752CB">
        <w:rPr>
          <w:rFonts w:eastAsia="Aptos" w:cs="Aptos"/>
        </w:rPr>
        <w:t xml:space="preserve"> and skills, risks </w:t>
      </w:r>
      <w:r w:rsidRPr="003752CB">
        <w:rPr>
          <w:rFonts w:eastAsia="Aptos" w:cs="Aptos"/>
        </w:rPr>
        <w:t>deepen</w:t>
      </w:r>
      <w:r w:rsidR="00F04113" w:rsidRPr="003752CB">
        <w:rPr>
          <w:rFonts w:eastAsia="Aptos" w:cs="Aptos"/>
        </w:rPr>
        <w:t>ing</w:t>
      </w:r>
      <w:r w:rsidRPr="003752CB">
        <w:rPr>
          <w:rFonts w:eastAsia="Aptos" w:cs="Aptos"/>
        </w:rPr>
        <w:t xml:space="preserve"> existing inequities unless addressed with urgency and intentionality.</w:t>
      </w:r>
      <w:r w:rsidR="00EF6F09" w:rsidRPr="003752CB">
        <w:rPr>
          <w:rFonts w:eastAsia="Aptos" w:cs="Aptos"/>
        </w:rPr>
        <w:t xml:space="preserve"> </w:t>
      </w:r>
      <w:r w:rsidR="00EF6F09" w:rsidRPr="003752CB">
        <w:t>Closing this divide requires coordinated, sustained action</w:t>
      </w:r>
    </w:p>
    <w:p w14:paraId="5576BBC0" w14:textId="44D02492" w:rsidR="007A4174" w:rsidRPr="003752CB" w:rsidRDefault="0040727E" w:rsidP="001353DC">
      <w:pPr>
        <w:rPr>
          <w:rFonts w:eastAsia="Aptos" w:cs="Aptos"/>
        </w:rPr>
      </w:pPr>
      <w:r w:rsidRPr="003752CB">
        <w:rPr>
          <w:rFonts w:eastAsia="Aptos" w:cs="Aptos"/>
        </w:rPr>
        <w:t>To foster inclusive employment opportunities, strategies must prioritize </w:t>
      </w:r>
      <w:r w:rsidR="00EE0401" w:rsidRPr="003752CB">
        <w:rPr>
          <w:rFonts w:eastAsia="Aptos" w:cs="Aptos"/>
          <w:b/>
        </w:rPr>
        <w:t>accessible d</w:t>
      </w:r>
      <w:r w:rsidRPr="003752CB">
        <w:rPr>
          <w:rFonts w:eastAsia="Aptos" w:cs="Aptos"/>
          <w:b/>
        </w:rPr>
        <w:t>igital</w:t>
      </w:r>
      <w:r w:rsidR="0030143C" w:rsidRPr="003752CB">
        <w:rPr>
          <w:rFonts w:eastAsia="Aptos" w:cs="Aptos"/>
          <w:b/>
        </w:rPr>
        <w:t xml:space="preserve"> infrastructure</w:t>
      </w:r>
      <w:r w:rsidR="00297DBD" w:rsidRPr="003752CB">
        <w:rPr>
          <w:rFonts w:eastAsia="Aptos" w:cs="Aptos"/>
          <w:b/>
        </w:rPr>
        <w:t>, content</w:t>
      </w:r>
      <w:r w:rsidR="0030143C" w:rsidRPr="003752CB">
        <w:rPr>
          <w:rFonts w:eastAsia="Aptos" w:cs="Aptos"/>
          <w:b/>
        </w:rPr>
        <w:t xml:space="preserve"> and</w:t>
      </w:r>
      <w:r w:rsidRPr="003752CB">
        <w:rPr>
          <w:rFonts w:eastAsia="Aptos" w:cs="Aptos"/>
          <w:b/>
        </w:rPr>
        <w:t xml:space="preserve"> </w:t>
      </w:r>
      <w:r w:rsidR="00297DBD" w:rsidRPr="003752CB">
        <w:rPr>
          <w:rFonts w:eastAsia="Aptos" w:cs="Aptos"/>
          <w:b/>
        </w:rPr>
        <w:t>design features,</w:t>
      </w:r>
      <w:r w:rsidR="0030143C" w:rsidRPr="003752CB">
        <w:rPr>
          <w:rFonts w:eastAsia="Aptos" w:cs="Aptos"/>
          <w:b/>
        </w:rPr>
        <w:t xml:space="preserve"> and</w:t>
      </w:r>
      <w:r w:rsidRPr="003752CB">
        <w:rPr>
          <w:rFonts w:eastAsia="Aptos" w:cs="Aptos"/>
          <w:b/>
        </w:rPr>
        <w:t xml:space="preserve"> </w:t>
      </w:r>
      <w:r w:rsidR="00EE0401" w:rsidRPr="003752CB">
        <w:rPr>
          <w:rFonts w:eastAsia="Aptos" w:cs="Aptos"/>
          <w:b/>
        </w:rPr>
        <w:t xml:space="preserve">inclusive </w:t>
      </w:r>
      <w:r w:rsidRPr="003752CB">
        <w:rPr>
          <w:rFonts w:eastAsia="Aptos" w:cs="Aptos"/>
          <w:b/>
        </w:rPr>
        <w:t>skills development</w:t>
      </w:r>
      <w:r w:rsidRPr="003752CB">
        <w:rPr>
          <w:rFonts w:eastAsia="Aptos" w:cs="Aptos"/>
        </w:rPr>
        <w:t>.</w:t>
      </w:r>
      <w:r w:rsidR="00EE0401" w:rsidRPr="003752CB">
        <w:rPr>
          <w:rFonts w:eastAsia="Aptos" w:cs="Aptos"/>
        </w:rPr>
        <w:t xml:space="preserve"> This includes ensuring accessible design, bridging infrastructure gaps, and </w:t>
      </w:r>
      <w:r w:rsidR="00CA2A9C" w:rsidRPr="003752CB">
        <w:rPr>
          <w:rFonts w:eastAsia="Aptos" w:cs="Aptos"/>
        </w:rPr>
        <w:t>scaling inclusive digital skills programs.</w:t>
      </w:r>
      <w:r w:rsidR="00EF6F09" w:rsidRPr="003752CB">
        <w:rPr>
          <w:rFonts w:eastAsia="Aptos" w:cs="Aptos"/>
        </w:rPr>
        <w:t xml:space="preserve"> </w:t>
      </w:r>
      <w:r w:rsidR="00CA2A9C" w:rsidRPr="003752CB">
        <w:rPr>
          <w:rFonts w:eastAsia="Aptos" w:cs="Aptos"/>
        </w:rPr>
        <w:t xml:space="preserve">For service providers, </w:t>
      </w:r>
      <w:r w:rsidR="00D003C5" w:rsidRPr="003752CB">
        <w:rPr>
          <w:rFonts w:eastAsia="Aptos" w:cs="Aptos"/>
        </w:rPr>
        <w:t xml:space="preserve">this means </w:t>
      </w:r>
      <w:r w:rsidR="00EE0401" w:rsidRPr="003752CB">
        <w:rPr>
          <w:rFonts w:eastAsia="Aptos" w:cs="Aptos"/>
        </w:rPr>
        <w:t xml:space="preserve">offering contextualized, </w:t>
      </w:r>
      <w:r w:rsidR="008D2557" w:rsidRPr="003752CB">
        <w:rPr>
          <w:rFonts w:eastAsia="Aptos" w:cs="Aptos"/>
        </w:rPr>
        <w:lastRenderedPageBreak/>
        <w:t xml:space="preserve">scaffolded, </w:t>
      </w:r>
      <w:r w:rsidR="00EE0401" w:rsidRPr="003752CB">
        <w:rPr>
          <w:rFonts w:eastAsia="Aptos" w:cs="Aptos"/>
        </w:rPr>
        <w:t>modular</w:t>
      </w:r>
      <w:r w:rsidR="008D2557" w:rsidRPr="003752CB">
        <w:rPr>
          <w:rFonts w:eastAsia="Aptos" w:cs="Aptos"/>
        </w:rPr>
        <w:t>, and practical</w:t>
      </w:r>
      <w:r w:rsidR="00EE0401" w:rsidRPr="003752CB">
        <w:rPr>
          <w:rFonts w:eastAsia="Aptos" w:cs="Aptos"/>
        </w:rPr>
        <w:t xml:space="preserve"> training</w:t>
      </w:r>
      <w:r w:rsidR="00D82EF5" w:rsidRPr="003752CB">
        <w:rPr>
          <w:rFonts w:eastAsia="Aptos" w:cs="Aptos"/>
        </w:rPr>
        <w:t xml:space="preserve"> that goes </w:t>
      </w:r>
      <w:r w:rsidR="00424187" w:rsidRPr="003752CB">
        <w:rPr>
          <w:rFonts w:eastAsia="Aptos" w:cs="Aptos"/>
        </w:rPr>
        <w:t>beyond technical proficiency skills</w:t>
      </w:r>
      <w:r w:rsidR="00D82EF5" w:rsidRPr="003752CB">
        <w:rPr>
          <w:rFonts w:eastAsia="Aptos" w:cs="Aptos"/>
        </w:rPr>
        <w:t xml:space="preserve"> and is </w:t>
      </w:r>
      <w:r w:rsidR="00EE0401" w:rsidRPr="003752CB">
        <w:rPr>
          <w:rFonts w:eastAsia="Aptos" w:cs="Aptos"/>
        </w:rPr>
        <w:t>led by empowered facilitators.</w:t>
      </w:r>
      <w:r w:rsidR="006A3406" w:rsidRPr="003752CB">
        <w:rPr>
          <w:rFonts w:eastAsia="Aptos" w:cs="Aptos"/>
        </w:rPr>
        <w:t xml:space="preserve"> </w:t>
      </w:r>
      <w:r w:rsidR="00445BFF" w:rsidRPr="003752CB">
        <w:rPr>
          <w:rFonts w:eastAsia="Aptos" w:cs="Aptos"/>
        </w:rPr>
        <w:t>Building trust through community engagement and mechanisms</w:t>
      </w:r>
      <w:r w:rsidR="006A047C" w:rsidRPr="003752CB">
        <w:rPr>
          <w:rFonts w:eastAsia="Aptos" w:cs="Aptos"/>
        </w:rPr>
        <w:t xml:space="preserve"> for continuous improvement</w:t>
      </w:r>
      <w:r w:rsidR="00445BFF" w:rsidRPr="003752CB">
        <w:rPr>
          <w:rFonts w:eastAsia="Aptos" w:cs="Aptos"/>
        </w:rPr>
        <w:t xml:space="preserve"> are also </w:t>
      </w:r>
      <w:r w:rsidR="006A3406" w:rsidRPr="003752CB">
        <w:rPr>
          <w:rFonts w:eastAsia="Aptos" w:cs="Aptos"/>
        </w:rPr>
        <w:t>essential</w:t>
      </w:r>
      <w:r w:rsidR="00445BFF" w:rsidRPr="003752CB">
        <w:rPr>
          <w:rFonts w:eastAsia="Aptos" w:cs="Aptos"/>
        </w:rPr>
        <w:t xml:space="preserve"> to supporting </w:t>
      </w:r>
      <w:r w:rsidR="006A3406" w:rsidRPr="003752CB">
        <w:rPr>
          <w:rFonts w:eastAsia="Aptos" w:cs="Aptos"/>
        </w:rPr>
        <w:t xml:space="preserve">the </w:t>
      </w:r>
      <w:r w:rsidR="00445BFF" w:rsidRPr="003752CB">
        <w:rPr>
          <w:rFonts w:eastAsia="Aptos" w:cs="Aptos"/>
        </w:rPr>
        <w:t xml:space="preserve">digital </w:t>
      </w:r>
      <w:r w:rsidR="006A3406" w:rsidRPr="003752CB">
        <w:rPr>
          <w:rFonts w:eastAsia="Aptos" w:cs="Aptos"/>
        </w:rPr>
        <w:t>empowerment</w:t>
      </w:r>
      <w:r w:rsidR="00445BFF" w:rsidRPr="003752CB">
        <w:rPr>
          <w:rFonts w:eastAsia="Aptos" w:cs="Aptos"/>
        </w:rPr>
        <w:t xml:space="preserve"> of persons with disabilities.</w:t>
      </w:r>
    </w:p>
    <w:p w14:paraId="74D5AFA5" w14:textId="4FE29113" w:rsidR="00AB605F" w:rsidRPr="003752CB" w:rsidRDefault="00AB605F" w:rsidP="001353DC">
      <w:r w:rsidRPr="003752CB">
        <w:t>Service providers play a critical role in delivering these solutions, but they need adequate funding, clear guidance, and collaborative design processes that center lived experience. Policies and programs that take an intersectional approach by</w:t>
      </w:r>
      <w:r w:rsidRPr="003752CB">
        <w:rPr>
          <w:rFonts w:eastAsia="Aptos" w:cs="Aptos"/>
        </w:rPr>
        <w:t xml:space="preserve"> </w:t>
      </w:r>
      <w:r w:rsidRPr="003752CB">
        <w:t>addressing disability and demographic factors like race, socioeconomic status, gender, and geography together are more likely to drive meaningful and systemic change.</w:t>
      </w:r>
    </w:p>
    <w:p w14:paraId="7FF63AD0" w14:textId="5E196E6B" w:rsidR="00293452" w:rsidRPr="003752CB" w:rsidRDefault="009D5626" w:rsidP="00BE791D">
      <w:r w:rsidRPr="003752CB">
        <w:t>There is also an opportunity for service providers and other community advocates to be agents of change through employer engagement.</w:t>
      </w:r>
      <w:r w:rsidR="00473BA8" w:rsidRPr="003752CB">
        <w:t xml:space="preserve"> By educating employers on the importance of digital accessibility</w:t>
      </w:r>
      <w:r w:rsidR="00CB4BF1" w:rsidRPr="003752CB">
        <w:t xml:space="preserve">, </w:t>
      </w:r>
      <w:r w:rsidR="00473BA8" w:rsidRPr="003752CB">
        <w:t xml:space="preserve">they can </w:t>
      </w:r>
      <w:r w:rsidR="00CB4BF1" w:rsidRPr="003752CB">
        <w:t>make the labour market more inclusive</w:t>
      </w:r>
      <w:r w:rsidR="00EB1E47" w:rsidRPr="003752CB">
        <w:t xml:space="preserve"> one workplace at a time</w:t>
      </w:r>
      <w:r w:rsidR="00473BA8" w:rsidRPr="003752CB">
        <w:t>.</w:t>
      </w:r>
      <w:r w:rsidR="00293452" w:rsidRPr="003752CB">
        <w:t xml:space="preserve"> As organizations advance their digital transformation and</w:t>
      </w:r>
      <w:r w:rsidR="00EB1E47" w:rsidRPr="003752CB">
        <w:t xml:space="preserve"> increasingly embed </w:t>
      </w:r>
      <w:r w:rsidR="00221EA5" w:rsidRPr="003752CB">
        <w:t xml:space="preserve">new </w:t>
      </w:r>
      <w:r w:rsidR="00EB1E47" w:rsidRPr="003752CB">
        <w:t>technolog</w:t>
      </w:r>
      <w:r w:rsidR="00221EA5" w:rsidRPr="003752CB">
        <w:t>ies</w:t>
      </w:r>
      <w:r w:rsidR="00EB1E47" w:rsidRPr="003752CB">
        <w:t xml:space="preserve"> like AI in their daily operations,</w:t>
      </w:r>
      <w:r w:rsidR="00293452" w:rsidRPr="003752CB">
        <w:t xml:space="preserve"> </w:t>
      </w:r>
      <w:r w:rsidR="00615EE6" w:rsidRPr="003752CB">
        <w:t>advocates can help ensure accessibility is not an afterthought</w:t>
      </w:r>
      <w:r w:rsidR="00221EA5" w:rsidRPr="003752CB">
        <w:t xml:space="preserve">; </w:t>
      </w:r>
      <w:r w:rsidR="002D145A" w:rsidRPr="003752CB">
        <w:t xml:space="preserve">tools, platforms, and processes </w:t>
      </w:r>
      <w:r w:rsidR="00221EA5" w:rsidRPr="003752CB">
        <w:t xml:space="preserve">must be </w:t>
      </w:r>
      <w:r w:rsidR="002D145A" w:rsidRPr="003752CB">
        <w:t>usable for all employees.</w:t>
      </w:r>
      <w:r w:rsidR="003769DF" w:rsidRPr="003752CB">
        <w:t xml:space="preserve"> </w:t>
      </w:r>
      <w:r w:rsidRPr="003752CB">
        <w:t xml:space="preserve">At </w:t>
      </w:r>
      <w:r w:rsidR="00985D57" w:rsidRPr="003752CB">
        <w:t>the policy level, advocating for</w:t>
      </w:r>
      <w:r w:rsidRPr="003752CB">
        <w:t xml:space="preserve"> the comprehensive implementation of relevant digital accessibility standards (such as  WCAG 2.1) under the </w:t>
      </w:r>
      <w:r w:rsidRPr="003752CB">
        <w:rPr>
          <w:i/>
          <w:iCs/>
        </w:rPr>
        <w:t>Accessibility Requirements for Information and Communication Technologies (ICT) Standard</w:t>
      </w:r>
      <w:r w:rsidRPr="003752CB">
        <w:t xml:space="preserve"> (Accessibility Standards Canada, 2024) and Sections 10.6 (Access to information) and 10.7 (Information technology) of the </w:t>
      </w:r>
      <w:r w:rsidRPr="003752CB">
        <w:rPr>
          <w:i/>
          <w:iCs/>
        </w:rPr>
        <w:t>Accessibility Standards Canada Standard on Employment</w:t>
      </w:r>
      <w:r w:rsidRPr="003752CB">
        <w:rPr>
          <w:rStyle w:val="EndnoteReference"/>
          <w:i/>
          <w:iCs/>
        </w:rPr>
        <w:endnoteReference w:id="89"/>
      </w:r>
      <w:r w:rsidRPr="003752CB">
        <w:t xml:space="preserve">, </w:t>
      </w:r>
      <w:r w:rsidR="00985D57" w:rsidRPr="003752CB">
        <w:t>and</w:t>
      </w:r>
      <w:r w:rsidRPr="003752CB">
        <w:t xml:space="preserve"> for the expansion of subsidies for assistive technologies, are two</w:t>
      </w:r>
      <w:r w:rsidR="00985D57" w:rsidRPr="003752CB">
        <w:t xml:space="preserve"> other</w:t>
      </w:r>
      <w:r w:rsidRPr="003752CB">
        <w:t xml:space="preserve"> actionable steps.</w:t>
      </w:r>
    </w:p>
    <w:p w14:paraId="3E479730" w14:textId="7D921F1E" w:rsidR="00473BA8" w:rsidRDefault="00473BA8" w:rsidP="00BE791D">
      <w:r w:rsidRPr="003752CB">
        <w:t xml:space="preserve">Digital inclusion </w:t>
      </w:r>
      <w:r w:rsidR="006D2E8E" w:rsidRPr="003752CB">
        <w:t>is not just a technological issue</w:t>
      </w:r>
      <w:r w:rsidR="001A4A17" w:rsidRPr="003752CB">
        <w:t>. In a</w:t>
      </w:r>
      <w:r w:rsidR="00C67857" w:rsidRPr="003752CB">
        <w:t>n increasingly digital world, it is a human right.</w:t>
      </w:r>
      <w:r w:rsidRPr="003752CB">
        <w:t xml:space="preserve"> Empowering persons with disabilities to fully participate in the digital economy is essential to building a future that is inclusive, innovative, and fair for all.</w:t>
      </w:r>
    </w:p>
    <w:p w14:paraId="11BAD610" w14:textId="691822A9" w:rsidR="004468F1" w:rsidRPr="00BE791D" w:rsidRDefault="00BB442B" w:rsidP="009D3EC2">
      <w:pPr>
        <w:spacing w:line="240" w:lineRule="auto"/>
      </w:pPr>
      <w:r>
        <w:br w:type="page"/>
      </w:r>
    </w:p>
    <w:p w14:paraId="273D7A01" w14:textId="7299DD7B" w:rsidR="00C17828" w:rsidRPr="00D253F0" w:rsidRDefault="00721E99" w:rsidP="009D3EC2">
      <w:pPr>
        <w:spacing w:line="240" w:lineRule="auto"/>
        <w:rPr>
          <w:rFonts w:eastAsia="Aptos" w:cs="Aptos"/>
          <w:color w:val="156082" w:themeColor="accent1"/>
          <w:sz w:val="28"/>
          <w:szCs w:val="28"/>
        </w:rPr>
      </w:pPr>
      <w:r w:rsidRPr="00855A70">
        <w:rPr>
          <w:rFonts w:eastAsia="Aptos" w:cs="Aptos"/>
          <w:color w:val="156082" w:themeColor="accent1"/>
          <w:sz w:val="28"/>
          <w:szCs w:val="28"/>
        </w:rPr>
        <w:lastRenderedPageBreak/>
        <w:t>References</w:t>
      </w:r>
    </w:p>
    <w:sectPr w:rsidR="00C17828" w:rsidRPr="00D253F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498D" w14:textId="77777777" w:rsidR="00F84D59" w:rsidRDefault="00F84D59">
      <w:pPr>
        <w:spacing w:after="0" w:line="240" w:lineRule="auto"/>
      </w:pPr>
      <w:r>
        <w:separator/>
      </w:r>
    </w:p>
  </w:endnote>
  <w:endnote w:type="continuationSeparator" w:id="0">
    <w:p w14:paraId="34036EF3" w14:textId="77777777" w:rsidR="00F84D59" w:rsidRDefault="00F84D59">
      <w:pPr>
        <w:spacing w:after="0" w:line="240" w:lineRule="auto"/>
      </w:pPr>
      <w:r>
        <w:continuationSeparator/>
      </w:r>
    </w:p>
  </w:endnote>
  <w:endnote w:id="1">
    <w:p w14:paraId="0485D0DA" w14:textId="659A42AF" w:rsidR="007374CE" w:rsidRPr="003752CB" w:rsidRDefault="007374CE"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F5639A" w:rsidRPr="003752CB">
        <w:rPr>
          <w:rFonts w:asciiTheme="majorHAnsi" w:hAnsiTheme="majorHAnsi"/>
        </w:rPr>
        <w:t>Jetha, A., Shamaee, A., Bonaccio, S., Gignac, M. A. M., Tucker, L. B., Tompa, E., Bültmann, U., Norman, C. D., Banks, C. G., &amp; Smith, P. M. (2021). Fragmentation in the future of work: A horizon scan examining the impact of the changing nature of work on workers experiencing vulnerability.</w:t>
      </w:r>
      <w:r w:rsidR="00F5639A" w:rsidRPr="003752CB">
        <w:rPr>
          <w:rFonts w:ascii="Arial" w:hAnsi="Arial" w:cs="Arial"/>
        </w:rPr>
        <w:t> </w:t>
      </w:r>
      <w:r w:rsidR="00F5639A" w:rsidRPr="003752CB">
        <w:rPr>
          <w:rFonts w:asciiTheme="majorHAnsi" w:hAnsiTheme="majorHAnsi"/>
          <w:i/>
          <w:iCs/>
        </w:rPr>
        <w:t>American journal of industrial medicine</w:t>
      </w:r>
      <w:r w:rsidR="00F5639A" w:rsidRPr="003752CB">
        <w:rPr>
          <w:rFonts w:asciiTheme="majorHAnsi" w:hAnsiTheme="majorHAnsi"/>
        </w:rPr>
        <w:t>,</w:t>
      </w:r>
      <w:r w:rsidR="00F5639A" w:rsidRPr="003752CB">
        <w:rPr>
          <w:rFonts w:ascii="Arial" w:hAnsi="Arial" w:cs="Arial"/>
        </w:rPr>
        <w:t> </w:t>
      </w:r>
      <w:r w:rsidR="00F5639A" w:rsidRPr="003752CB">
        <w:rPr>
          <w:rFonts w:asciiTheme="majorHAnsi" w:hAnsiTheme="majorHAnsi"/>
          <w:i/>
          <w:iCs/>
        </w:rPr>
        <w:t>64</w:t>
      </w:r>
      <w:r w:rsidR="00F5639A" w:rsidRPr="003752CB">
        <w:rPr>
          <w:rFonts w:asciiTheme="majorHAnsi" w:hAnsiTheme="majorHAnsi"/>
        </w:rPr>
        <w:t xml:space="preserve">(8), 649–666. </w:t>
      </w:r>
      <w:hyperlink r:id="rId1" w:history="1">
        <w:r w:rsidR="00F5639A" w:rsidRPr="003752CB">
          <w:rPr>
            <w:rStyle w:val="Hyperlink"/>
            <w:rFonts w:asciiTheme="majorHAnsi" w:hAnsiTheme="majorHAnsi"/>
          </w:rPr>
          <w:t>https://doi.org/10.1002/ajim.23262</w:t>
        </w:r>
      </w:hyperlink>
      <w:r w:rsidR="00F5639A" w:rsidRPr="003752CB">
        <w:rPr>
          <w:rFonts w:asciiTheme="majorHAnsi" w:hAnsiTheme="majorHAnsi"/>
        </w:rPr>
        <w:t xml:space="preserve"> </w:t>
      </w:r>
    </w:p>
    <w:p w14:paraId="5C294406" w14:textId="77777777" w:rsidR="0015393D" w:rsidRPr="003752CB" w:rsidRDefault="0015393D" w:rsidP="00BE7F03">
      <w:pPr>
        <w:spacing w:after="0" w:line="240" w:lineRule="auto"/>
        <w:rPr>
          <w:rFonts w:asciiTheme="majorHAnsi" w:hAnsiTheme="majorHAnsi"/>
        </w:rPr>
      </w:pPr>
    </w:p>
  </w:endnote>
  <w:endnote w:id="2">
    <w:p w14:paraId="53D69CF8" w14:textId="585690B4" w:rsidR="00292612" w:rsidRPr="003752CB" w:rsidRDefault="0029261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National Digital Inclusion Alliance. (n.d.). </w:t>
      </w:r>
      <w:r w:rsidRPr="003752CB">
        <w:rPr>
          <w:rFonts w:asciiTheme="majorHAnsi" w:hAnsiTheme="majorHAnsi"/>
          <w:i/>
          <w:iCs/>
        </w:rPr>
        <w:t>Definitions</w:t>
      </w:r>
      <w:r w:rsidRPr="003752CB">
        <w:rPr>
          <w:rFonts w:asciiTheme="majorHAnsi" w:hAnsiTheme="majorHAnsi"/>
        </w:rPr>
        <w:t xml:space="preserve">. Retrieved November 6, 2025, from </w:t>
      </w:r>
      <w:hyperlink r:id="rId2" w:history="1">
        <w:r w:rsidRPr="003752CB">
          <w:rPr>
            <w:rStyle w:val="Hyperlink"/>
            <w:rFonts w:asciiTheme="majorHAnsi" w:hAnsiTheme="majorHAnsi"/>
          </w:rPr>
          <w:t>https://www.digitalinclusion.org/definitions/</w:t>
        </w:r>
      </w:hyperlink>
    </w:p>
    <w:p w14:paraId="4BC4B8DB" w14:textId="77777777" w:rsidR="0015393D" w:rsidRPr="003752CB" w:rsidRDefault="0015393D" w:rsidP="00BE7F03">
      <w:pPr>
        <w:spacing w:after="0" w:line="240" w:lineRule="auto"/>
        <w:rPr>
          <w:rFonts w:asciiTheme="majorHAnsi" w:hAnsiTheme="majorHAnsi"/>
        </w:rPr>
      </w:pPr>
    </w:p>
  </w:endnote>
  <w:endnote w:id="3">
    <w:p w14:paraId="7794E320" w14:textId="2E86954D" w:rsidR="00B61DB5" w:rsidRPr="003752CB" w:rsidRDefault="00B61DB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1835D6" w:rsidRPr="003752CB">
        <w:rPr>
          <w:rFonts w:asciiTheme="majorHAnsi" w:hAnsiTheme="majorHAnsi"/>
        </w:rPr>
        <w:t>Innovation, Science and Economic Development Canada. (2025a, January 30). </w:t>
      </w:r>
      <w:r w:rsidR="001835D6" w:rsidRPr="003752CB">
        <w:rPr>
          <w:rFonts w:asciiTheme="majorHAnsi" w:hAnsiTheme="majorHAnsi"/>
          <w:i/>
          <w:iCs/>
        </w:rPr>
        <w:t>Connecting Families Initiative</w:t>
      </w:r>
      <w:r w:rsidR="001835D6" w:rsidRPr="003752CB">
        <w:rPr>
          <w:rFonts w:asciiTheme="majorHAnsi" w:hAnsiTheme="majorHAnsi"/>
        </w:rPr>
        <w:t>. Government of Canada. </w:t>
      </w:r>
      <w:hyperlink r:id="rId3" w:history="1">
        <w:r w:rsidR="001835D6" w:rsidRPr="003752CB">
          <w:rPr>
            <w:rStyle w:val="Hyperlink"/>
            <w:rFonts w:asciiTheme="majorHAnsi" w:hAnsiTheme="majorHAnsi"/>
          </w:rPr>
          <w:t>https://ised-isde.canada.ca/site/connecting-families/en</w:t>
        </w:r>
      </w:hyperlink>
    </w:p>
    <w:p w14:paraId="309E2608" w14:textId="77777777" w:rsidR="0015393D" w:rsidRPr="003752CB" w:rsidRDefault="0015393D" w:rsidP="00BE7F03">
      <w:pPr>
        <w:spacing w:after="0" w:line="240" w:lineRule="auto"/>
        <w:rPr>
          <w:rFonts w:asciiTheme="majorHAnsi" w:hAnsiTheme="majorHAnsi"/>
        </w:rPr>
      </w:pPr>
    </w:p>
  </w:endnote>
  <w:endnote w:id="4">
    <w:p w14:paraId="584A5A7E" w14:textId="79EDFBB6" w:rsidR="004168C5" w:rsidRPr="003752CB" w:rsidRDefault="004168C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1C0F39" w:rsidRPr="003752CB">
        <w:rPr>
          <w:rFonts w:asciiTheme="majorHAnsi" w:hAnsiTheme="majorHAnsi"/>
        </w:rPr>
        <w:t>Mullins, E. (2022, August 9). </w:t>
      </w:r>
      <w:r w:rsidR="001C0F39" w:rsidRPr="003752CB">
        <w:rPr>
          <w:rFonts w:asciiTheme="majorHAnsi" w:hAnsiTheme="majorHAnsi"/>
          <w:i/>
          <w:iCs/>
        </w:rPr>
        <w:t>Canada’s digital divide and the path to digital equity for all ages</w:t>
      </w:r>
      <w:r w:rsidR="001C0F39" w:rsidRPr="003752CB">
        <w:rPr>
          <w:rFonts w:asciiTheme="majorHAnsi" w:hAnsiTheme="majorHAnsi"/>
        </w:rPr>
        <w:t>. Samuel Centre for Social Connectedness. </w:t>
      </w:r>
      <w:hyperlink r:id="rId4" w:history="1">
        <w:r w:rsidR="001C0F39" w:rsidRPr="003752CB">
          <w:rPr>
            <w:rStyle w:val="Hyperlink"/>
            <w:rFonts w:asciiTheme="majorHAnsi" w:hAnsiTheme="majorHAnsi"/>
          </w:rPr>
          <w:t>https://www.socialconnectedness.org/canadas-digital-divide-and-the-path-to-digital-equity-for-all-ages/</w:t>
        </w:r>
      </w:hyperlink>
    </w:p>
    <w:p w14:paraId="6F623976" w14:textId="77777777" w:rsidR="0015393D" w:rsidRPr="003752CB" w:rsidRDefault="0015393D" w:rsidP="00BE7F03">
      <w:pPr>
        <w:spacing w:after="0" w:line="240" w:lineRule="auto"/>
        <w:rPr>
          <w:rFonts w:asciiTheme="majorHAnsi" w:hAnsiTheme="majorHAnsi"/>
        </w:rPr>
      </w:pPr>
    </w:p>
  </w:endnote>
  <w:endnote w:id="5">
    <w:p w14:paraId="3A316B7B" w14:textId="6238C63B" w:rsidR="00382CE7" w:rsidRPr="003752CB" w:rsidRDefault="00382CE7"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66150F" w:rsidRPr="003752CB">
        <w:rPr>
          <w:rFonts w:asciiTheme="majorHAnsi" w:hAnsiTheme="majorHAnsi"/>
        </w:rPr>
        <w:t xml:space="preserve">Willcocks, L. P. (2024). Automation, digitalization and the future of work: A critical review. </w:t>
      </w:r>
      <w:r w:rsidR="0066150F" w:rsidRPr="003752CB">
        <w:rPr>
          <w:rFonts w:asciiTheme="majorHAnsi" w:hAnsiTheme="majorHAnsi"/>
          <w:i/>
          <w:iCs/>
        </w:rPr>
        <w:t>Journal of Electronic Business &amp; Digital Economics</w:t>
      </w:r>
      <w:r w:rsidR="0066150F" w:rsidRPr="003752CB">
        <w:rPr>
          <w:rFonts w:asciiTheme="majorHAnsi" w:hAnsiTheme="majorHAnsi"/>
        </w:rPr>
        <w:t xml:space="preserve">, </w:t>
      </w:r>
      <w:r w:rsidR="0066150F" w:rsidRPr="003752CB">
        <w:rPr>
          <w:rFonts w:asciiTheme="majorHAnsi" w:hAnsiTheme="majorHAnsi"/>
          <w:i/>
          <w:iCs/>
        </w:rPr>
        <w:t>3</w:t>
      </w:r>
      <w:r w:rsidR="0066150F" w:rsidRPr="003752CB">
        <w:rPr>
          <w:rFonts w:asciiTheme="majorHAnsi" w:hAnsiTheme="majorHAnsi"/>
        </w:rPr>
        <w:t xml:space="preserve">(2), 184–199. </w:t>
      </w:r>
      <w:hyperlink r:id="rId5" w:history="1">
        <w:r w:rsidR="0066150F" w:rsidRPr="003752CB">
          <w:rPr>
            <w:rStyle w:val="Hyperlink"/>
            <w:rFonts w:asciiTheme="majorHAnsi" w:hAnsiTheme="majorHAnsi"/>
          </w:rPr>
          <w:t>https://doi.org/10.1108/jebde-09-2023-0018</w:t>
        </w:r>
      </w:hyperlink>
    </w:p>
    <w:p w14:paraId="3B3D5EC7" w14:textId="77777777" w:rsidR="0015393D" w:rsidRPr="003752CB" w:rsidRDefault="0015393D" w:rsidP="00BE7F03">
      <w:pPr>
        <w:spacing w:after="0" w:line="240" w:lineRule="auto"/>
        <w:rPr>
          <w:rFonts w:asciiTheme="majorHAnsi" w:hAnsiTheme="majorHAnsi"/>
        </w:rPr>
      </w:pPr>
    </w:p>
  </w:endnote>
  <w:endnote w:id="6">
    <w:p w14:paraId="6F963707" w14:textId="3EE89025" w:rsidR="00181922" w:rsidRPr="003752CB" w:rsidRDefault="0018192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650425" w:rsidRPr="003752CB">
        <w:rPr>
          <w:rFonts w:asciiTheme="majorHAnsi" w:hAnsiTheme="majorHAnsi"/>
        </w:rPr>
        <w:t xml:space="preserve">Treasury Board of Canada Secretariat. (2023, September 6). </w:t>
      </w:r>
      <w:r w:rsidR="00650425" w:rsidRPr="003752CB">
        <w:rPr>
          <w:rFonts w:asciiTheme="majorHAnsi" w:hAnsiTheme="majorHAnsi"/>
          <w:i/>
          <w:iCs/>
        </w:rPr>
        <w:t>Guide on the use of generative artificial intelligence (AI)</w:t>
      </w:r>
      <w:r w:rsidR="00650425" w:rsidRPr="003752CB">
        <w:rPr>
          <w:rFonts w:asciiTheme="majorHAnsi" w:hAnsiTheme="majorHAnsi"/>
        </w:rPr>
        <w:t xml:space="preserve">. Government of Canada. </w:t>
      </w:r>
      <w:hyperlink r:id="rId6" w:history="1">
        <w:r w:rsidR="00650425" w:rsidRPr="003752CB">
          <w:rPr>
            <w:rStyle w:val="Hyperlink"/>
            <w:rFonts w:asciiTheme="majorHAnsi" w:hAnsiTheme="majorHAnsi"/>
          </w:rPr>
          <w:t>https://www.canada.ca/en/government/system/digital-government/digital-government-innovations/responsible-use-ai/guide-use-generative-ai.html</w:t>
        </w:r>
      </w:hyperlink>
      <w:r w:rsidR="00650425" w:rsidRPr="003752CB">
        <w:rPr>
          <w:rFonts w:asciiTheme="majorHAnsi" w:hAnsiTheme="majorHAnsi"/>
        </w:rPr>
        <w:t xml:space="preserve"> </w:t>
      </w:r>
    </w:p>
    <w:p w14:paraId="335A08B1" w14:textId="77777777" w:rsidR="0015393D" w:rsidRPr="003752CB" w:rsidRDefault="0015393D" w:rsidP="00BE7F03">
      <w:pPr>
        <w:spacing w:after="0" w:line="240" w:lineRule="auto"/>
        <w:rPr>
          <w:rFonts w:asciiTheme="majorHAnsi" w:hAnsiTheme="majorHAnsi"/>
        </w:rPr>
      </w:pPr>
    </w:p>
  </w:endnote>
  <w:endnote w:id="7">
    <w:p w14:paraId="3E6EBD7E" w14:textId="01D3BD69" w:rsidR="0023240A" w:rsidRPr="003752CB" w:rsidRDefault="0023240A"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KPMG Canada. (2024, November). </w:t>
      </w:r>
      <w:r w:rsidRPr="003752CB">
        <w:rPr>
          <w:rFonts w:asciiTheme="majorHAnsi" w:hAnsiTheme="majorHAnsi"/>
          <w:i/>
          <w:iCs/>
        </w:rPr>
        <w:t>Generative AI adoption index: How Canadians are using generative AI at work and at home</w:t>
      </w:r>
      <w:r w:rsidRPr="003752CB">
        <w:rPr>
          <w:rFonts w:asciiTheme="majorHAnsi" w:hAnsiTheme="majorHAnsi"/>
        </w:rPr>
        <w:t xml:space="preserve">. </w:t>
      </w:r>
      <w:hyperlink r:id="rId7" w:history="1">
        <w:r w:rsidRPr="003752CB">
          <w:rPr>
            <w:rStyle w:val="Hyperlink"/>
            <w:rFonts w:asciiTheme="majorHAnsi" w:hAnsiTheme="majorHAnsi"/>
          </w:rPr>
          <w:t>https://assets.kpmg.com/content/dam/kpmg/ca/pdf/2024/11/generative-ai-adoption-index-report-en.pdf</w:t>
        </w:r>
      </w:hyperlink>
      <w:r w:rsidRPr="003752CB">
        <w:rPr>
          <w:rFonts w:asciiTheme="majorHAnsi" w:hAnsiTheme="majorHAnsi"/>
        </w:rPr>
        <w:t xml:space="preserve"> </w:t>
      </w:r>
    </w:p>
  </w:endnote>
  <w:endnote w:id="8">
    <w:p w14:paraId="0280021C" w14:textId="443AE6B6" w:rsidR="007B1FD4" w:rsidRPr="003752CB" w:rsidRDefault="007B1FD4" w:rsidP="00BE7F03">
      <w:pPr>
        <w:pStyle w:val="EndnoteText"/>
        <w:rPr>
          <w:rFonts w:asciiTheme="majorHAnsi" w:hAnsiTheme="majorHAnsi"/>
          <w:lang w:val="en-US"/>
        </w:rPr>
      </w:pPr>
    </w:p>
  </w:endnote>
  <w:endnote w:id="9">
    <w:p w14:paraId="672639D5" w14:textId="6A248D96" w:rsidR="00A76335" w:rsidRPr="003752CB" w:rsidRDefault="00A7633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Bryan, V., Shivani, S., &amp; Johnston, C. (2025, September 11). </w:t>
      </w:r>
      <w:r w:rsidRPr="003752CB">
        <w:rPr>
          <w:rFonts w:asciiTheme="majorHAnsi" w:hAnsiTheme="majorHAnsi"/>
          <w:i/>
          <w:iCs/>
        </w:rPr>
        <w:t>Analysis on expected use of artificial intelligence by businesses in Canada, third quarter of 2025.</w:t>
      </w:r>
      <w:r w:rsidRPr="003752CB">
        <w:rPr>
          <w:rFonts w:asciiTheme="majorHAnsi" w:hAnsiTheme="majorHAnsi"/>
        </w:rPr>
        <w:t xml:space="preserve"> Statistics Canada. </w:t>
      </w:r>
      <w:hyperlink r:id="rId8" w:history="1">
        <w:r w:rsidRPr="003752CB">
          <w:rPr>
            <w:rStyle w:val="Hyperlink"/>
            <w:rFonts w:asciiTheme="majorHAnsi" w:hAnsiTheme="majorHAnsi"/>
          </w:rPr>
          <w:t>https://www150.statcan.gc.ca/n1/pub/11-621-m/11-621-m2025011-eng.htm</w:t>
        </w:r>
      </w:hyperlink>
    </w:p>
    <w:p w14:paraId="60450823" w14:textId="77777777" w:rsidR="0015393D" w:rsidRPr="003752CB" w:rsidRDefault="0015393D" w:rsidP="00BE7F03">
      <w:pPr>
        <w:spacing w:after="0" w:line="240" w:lineRule="auto"/>
        <w:rPr>
          <w:rFonts w:asciiTheme="majorHAnsi" w:hAnsiTheme="majorHAnsi"/>
        </w:rPr>
      </w:pPr>
    </w:p>
  </w:endnote>
  <w:endnote w:id="10">
    <w:p w14:paraId="0A99F00F" w14:textId="77777777" w:rsidR="0015393D" w:rsidRPr="003752CB" w:rsidRDefault="00C973ED"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312D50" w:rsidRPr="003752CB">
        <w:rPr>
          <w:rFonts w:asciiTheme="majorHAnsi" w:hAnsiTheme="majorHAnsi"/>
        </w:rPr>
        <w:t xml:space="preserve">International Economic Development Council. (n.d.). </w:t>
      </w:r>
      <w:r w:rsidR="00312D50" w:rsidRPr="003752CB">
        <w:rPr>
          <w:rFonts w:asciiTheme="majorHAnsi" w:hAnsiTheme="majorHAnsi"/>
          <w:i/>
          <w:iCs/>
        </w:rPr>
        <w:t>Artificial intelligence impact on labor markets</w:t>
      </w:r>
      <w:r w:rsidR="00312D50" w:rsidRPr="003752CB">
        <w:rPr>
          <w:rFonts w:asciiTheme="majorHAnsi" w:hAnsiTheme="majorHAnsi"/>
        </w:rPr>
        <w:t xml:space="preserve"> [Literature review]. Economic Development Research Partners. Retrieved October 30, 2025, from </w:t>
      </w:r>
      <w:hyperlink r:id="rId9" w:history="1">
        <w:r w:rsidR="00312D50" w:rsidRPr="003752CB">
          <w:rPr>
            <w:rStyle w:val="Hyperlink"/>
            <w:rFonts w:asciiTheme="majorHAnsi" w:hAnsiTheme="majorHAnsi"/>
          </w:rPr>
          <w:t>https://www.iedconline.org/clientuploads/EDRP%20Logos/AI_Impact_on_Labor_Markets.pdf</w:t>
        </w:r>
      </w:hyperlink>
    </w:p>
    <w:p w14:paraId="2F62EFBB" w14:textId="77A4DC07" w:rsidR="00C973ED" w:rsidRPr="003752CB" w:rsidRDefault="00312D50" w:rsidP="00BE7F03">
      <w:pPr>
        <w:spacing w:after="0" w:line="240" w:lineRule="auto"/>
        <w:rPr>
          <w:rFonts w:asciiTheme="majorHAnsi" w:hAnsiTheme="majorHAnsi"/>
        </w:rPr>
      </w:pPr>
      <w:r w:rsidRPr="003752CB">
        <w:rPr>
          <w:rFonts w:asciiTheme="majorHAnsi" w:hAnsiTheme="majorHAnsi"/>
        </w:rPr>
        <w:t xml:space="preserve"> </w:t>
      </w:r>
    </w:p>
  </w:endnote>
  <w:endnote w:id="11">
    <w:p w14:paraId="3C72BB9F" w14:textId="6FF2DD30" w:rsidR="00F84147" w:rsidRPr="00FE17F3" w:rsidRDefault="00F84147" w:rsidP="00BE7F03">
      <w:pPr>
        <w:spacing w:after="0" w:line="240" w:lineRule="auto"/>
        <w:rPr>
          <w:rFonts w:asciiTheme="majorHAnsi" w:hAnsiTheme="majorHAnsi"/>
          <w:lang w:val="es-ES"/>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 xml:space="preserve">Bhaimiya, S. (2025, September 26). Accenture plans on ‘exiting’ staff who can’t be reskilled on AI amid restructuring strategy. </w:t>
      </w:r>
      <w:r w:rsidRPr="00FE17F3">
        <w:rPr>
          <w:rFonts w:asciiTheme="majorHAnsi" w:hAnsiTheme="majorHAnsi"/>
          <w:lang w:val="es-ES"/>
        </w:rPr>
        <w:t xml:space="preserve">CNBC. </w:t>
      </w:r>
      <w:hyperlink r:id="rId10" w:history="1">
        <w:r w:rsidRPr="00FE17F3">
          <w:rPr>
            <w:rStyle w:val="Hyperlink"/>
            <w:rFonts w:asciiTheme="majorHAnsi" w:hAnsiTheme="majorHAnsi"/>
            <w:lang w:val="es-ES"/>
          </w:rPr>
          <w:t>https://www.cnbc.com/2025/09/26/accenture-plans-on-exiting-staff-who-cant-be-reskilled-on-ai.html</w:t>
        </w:r>
      </w:hyperlink>
    </w:p>
    <w:p w14:paraId="7C062DF4" w14:textId="77777777" w:rsidR="0015393D" w:rsidRPr="00FE17F3" w:rsidRDefault="0015393D" w:rsidP="00BE7F03">
      <w:pPr>
        <w:spacing w:after="0" w:line="240" w:lineRule="auto"/>
        <w:rPr>
          <w:rFonts w:asciiTheme="majorHAnsi" w:hAnsiTheme="majorHAnsi"/>
          <w:lang w:val="es-ES"/>
        </w:rPr>
      </w:pPr>
    </w:p>
  </w:endnote>
  <w:endnote w:id="12">
    <w:p w14:paraId="4BCAAB78" w14:textId="4F72F264" w:rsidR="00D32F71" w:rsidRPr="003752CB" w:rsidRDefault="00D32F71"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McDonough, L. (2023). The skills algorithm: Digital skills demand across Canada’s labour market. In </w:t>
      </w:r>
      <w:r w:rsidRPr="003752CB">
        <w:rPr>
          <w:rFonts w:asciiTheme="majorHAnsi" w:hAnsiTheme="majorHAnsi"/>
          <w:i/>
          <w:iCs/>
        </w:rPr>
        <w:t>Future Skills Centre</w:t>
      </w:r>
      <w:r w:rsidRPr="003752CB">
        <w:rPr>
          <w:rFonts w:asciiTheme="majorHAnsi" w:hAnsiTheme="majorHAnsi"/>
        </w:rPr>
        <w:t xml:space="preserve"> [Report]. </w:t>
      </w:r>
      <w:hyperlink r:id="rId11" w:history="1">
        <w:r w:rsidRPr="003752CB">
          <w:rPr>
            <w:rStyle w:val="Hyperlink"/>
            <w:rFonts w:asciiTheme="majorHAnsi" w:hAnsiTheme="majorHAnsi"/>
          </w:rPr>
          <w:t>https://fsc-ccf.ca/wp-content/uploads/2024/10/the-skills-algorithm-digital-skills-demand-across-canadas-labour-market.pdf</w:t>
        </w:r>
      </w:hyperlink>
    </w:p>
    <w:p w14:paraId="101A264F" w14:textId="77777777" w:rsidR="0015393D" w:rsidRPr="003752CB" w:rsidRDefault="0015393D" w:rsidP="00BE7F03">
      <w:pPr>
        <w:spacing w:after="0" w:line="240" w:lineRule="auto"/>
        <w:rPr>
          <w:rFonts w:asciiTheme="majorHAnsi" w:hAnsiTheme="majorHAnsi"/>
        </w:rPr>
      </w:pPr>
    </w:p>
  </w:endnote>
  <w:endnote w:id="13">
    <w:p w14:paraId="4470819C" w14:textId="54DE1FF3" w:rsidR="00093215" w:rsidRPr="003752CB" w:rsidRDefault="0009321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00C33D31" w:rsidRPr="003752CB">
        <w:rPr>
          <w:rFonts w:asciiTheme="majorHAnsi" w:hAnsiTheme="majorHAnsi"/>
        </w:rPr>
        <w:t>Innovation, Science and Economic Development Canada. (2021, January 12). </w:t>
      </w:r>
      <w:r w:rsidR="00C33D31" w:rsidRPr="003752CB">
        <w:rPr>
          <w:rFonts w:asciiTheme="majorHAnsi" w:hAnsiTheme="majorHAnsi"/>
          <w:i/>
          <w:iCs/>
        </w:rPr>
        <w:t>Canada’s Digital Charter: Trust in a digital world</w:t>
      </w:r>
      <w:r w:rsidR="00C33D31" w:rsidRPr="003752CB">
        <w:rPr>
          <w:rFonts w:asciiTheme="majorHAnsi" w:hAnsiTheme="majorHAnsi"/>
        </w:rPr>
        <w:t>. Government of Canada. </w:t>
      </w:r>
      <w:hyperlink r:id="rId12" w:history="1">
        <w:r w:rsidR="00C33D31" w:rsidRPr="003752CB">
          <w:rPr>
            <w:rStyle w:val="Hyperlink"/>
            <w:rFonts w:asciiTheme="majorHAnsi" w:hAnsiTheme="majorHAnsi"/>
          </w:rPr>
          <w:t>https://ised-isde.canada.ca/site/innovation-better-canada/en/canadas-digital-charter-trust-digital-world</w:t>
        </w:r>
      </w:hyperlink>
    </w:p>
    <w:p w14:paraId="3039666E" w14:textId="77777777" w:rsidR="0015393D" w:rsidRPr="003752CB" w:rsidRDefault="0015393D" w:rsidP="00BE7F03">
      <w:pPr>
        <w:spacing w:after="0" w:line="240" w:lineRule="auto"/>
        <w:rPr>
          <w:rFonts w:asciiTheme="majorHAnsi" w:hAnsiTheme="majorHAnsi"/>
        </w:rPr>
      </w:pPr>
    </w:p>
  </w:endnote>
  <w:endnote w:id="14">
    <w:p w14:paraId="4D54C0CE" w14:textId="1BF54530" w:rsidR="002B0ACD" w:rsidRPr="003752CB" w:rsidRDefault="002B0ACD"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Industry and Business. (n.d.). </w:t>
      </w:r>
      <w:r w:rsidRPr="003752CB">
        <w:rPr>
          <w:rFonts w:asciiTheme="majorHAnsi" w:hAnsiTheme="majorHAnsi"/>
          <w:i/>
          <w:iCs/>
        </w:rPr>
        <w:t>How digital skills training is reshaping Canadian careers—and why it matters</w:t>
      </w:r>
      <w:r w:rsidRPr="003752CB">
        <w:rPr>
          <w:rFonts w:asciiTheme="majorHAnsi" w:hAnsiTheme="majorHAnsi"/>
        </w:rPr>
        <w:t>. </w:t>
      </w:r>
      <w:hyperlink r:id="rId13" w:history="1">
        <w:r w:rsidRPr="003752CB">
          <w:rPr>
            <w:rStyle w:val="Hyperlink"/>
            <w:rFonts w:asciiTheme="majorHAnsi" w:hAnsiTheme="majorHAnsi"/>
          </w:rPr>
          <w:t>https://www.industryandbusiness.ca/how-digital-skills-training-is-reshaping-canadian-careers-and-why-it-matters/</w:t>
        </w:r>
      </w:hyperlink>
    </w:p>
    <w:p w14:paraId="6608A843" w14:textId="77777777" w:rsidR="0015393D" w:rsidRPr="003752CB" w:rsidRDefault="0015393D" w:rsidP="00BE7F03">
      <w:pPr>
        <w:spacing w:after="0" w:line="240" w:lineRule="auto"/>
        <w:rPr>
          <w:rFonts w:asciiTheme="majorHAnsi" w:hAnsiTheme="majorHAnsi"/>
        </w:rPr>
      </w:pPr>
    </w:p>
  </w:endnote>
  <w:endnote w:id="15">
    <w:p w14:paraId="6EB3A350" w14:textId="77777777" w:rsidR="0094161A" w:rsidRPr="003752CB" w:rsidRDefault="0094161A"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PMC Training. (n.d.). </w:t>
      </w:r>
      <w:r w:rsidRPr="003752CB">
        <w:rPr>
          <w:rFonts w:asciiTheme="majorHAnsi" w:hAnsiTheme="majorHAnsi"/>
          <w:i/>
          <w:iCs/>
        </w:rPr>
        <w:t>Digital skills in Canada today</w:t>
      </w:r>
      <w:r w:rsidRPr="003752CB">
        <w:rPr>
          <w:rFonts w:asciiTheme="majorHAnsi" w:hAnsiTheme="majorHAnsi"/>
        </w:rPr>
        <w:t>. </w:t>
      </w:r>
      <w:hyperlink r:id="rId14" w:history="1">
        <w:r w:rsidRPr="003752CB">
          <w:rPr>
            <w:rStyle w:val="Hyperlink"/>
            <w:rFonts w:asciiTheme="majorHAnsi" w:hAnsiTheme="majorHAnsi"/>
          </w:rPr>
          <w:t>https://pmctraining.com/articles-and-resources/digital-skills-in-canada-today/</w:t>
        </w:r>
      </w:hyperlink>
    </w:p>
    <w:p w14:paraId="23C9019B" w14:textId="7C8D1C49" w:rsidR="0094161A" w:rsidRPr="003752CB" w:rsidRDefault="0094161A" w:rsidP="00BE7F03">
      <w:pPr>
        <w:pStyle w:val="EndnoteText"/>
        <w:rPr>
          <w:rFonts w:asciiTheme="majorHAnsi" w:hAnsiTheme="majorHAnsi"/>
          <w:lang w:val="en-US"/>
        </w:rPr>
      </w:pPr>
    </w:p>
  </w:endnote>
  <w:endnote w:id="16">
    <w:p w14:paraId="3BF005E1" w14:textId="5FBF1DC9" w:rsidR="007B2232" w:rsidRPr="003752CB" w:rsidRDefault="007B223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Innovation, Science and Economic Development Canada. (2025b, March). </w:t>
      </w:r>
      <w:r w:rsidRPr="003752CB">
        <w:rPr>
          <w:rFonts w:asciiTheme="majorHAnsi" w:hAnsiTheme="majorHAnsi"/>
          <w:i/>
          <w:iCs/>
        </w:rPr>
        <w:t>High-Speed Access for All: Canada’s Connectivity Strategy</w:t>
      </w:r>
      <w:r w:rsidRPr="003752CB">
        <w:rPr>
          <w:rFonts w:asciiTheme="majorHAnsi" w:hAnsiTheme="majorHAnsi"/>
        </w:rPr>
        <w:t xml:space="preserve">. Government of Canada. </w:t>
      </w:r>
      <w:hyperlink r:id="rId15" w:history="1">
        <w:r w:rsidRPr="003752CB">
          <w:rPr>
            <w:rStyle w:val="Hyperlink"/>
            <w:rFonts w:asciiTheme="majorHAnsi" w:hAnsiTheme="majorHAnsi"/>
          </w:rPr>
          <w:t>https://ised-isde.canada.ca/site/high-speed-Internet-canada/en/canadas-connectivity-strategy/high-speed-access-all-canadas-connectivity-strategy</w:t>
        </w:r>
      </w:hyperlink>
    </w:p>
    <w:p w14:paraId="48A2E121" w14:textId="021E68BA" w:rsidR="007B2232" w:rsidRPr="003752CB" w:rsidRDefault="007B2232" w:rsidP="00BE7F03">
      <w:pPr>
        <w:pStyle w:val="EndnoteText"/>
        <w:rPr>
          <w:rFonts w:asciiTheme="majorHAnsi" w:hAnsiTheme="majorHAnsi"/>
        </w:rPr>
      </w:pPr>
    </w:p>
  </w:endnote>
  <w:endnote w:id="17">
    <w:p w14:paraId="4A57C86C" w14:textId="019FC275" w:rsidR="006F314B" w:rsidRPr="003752CB" w:rsidRDefault="006F314B"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Jetha, A., </w:t>
      </w:r>
      <w:r w:rsidRPr="003752CB">
        <w:rPr>
          <w:rFonts w:asciiTheme="majorHAnsi" w:hAnsiTheme="majorHAnsi"/>
        </w:rPr>
        <w:t xml:space="preserve">Bonaccio, S., Shamaee, A., Banks, C. G., Bültmann, U., Smith, P. M., ... &amp; Gignac, M. A. (2023). Divided in a digital economy: Understanding disability employment inequities stemming from the application of advanced workplace technologies. SSM-Qualitative Research in Health, 3, 100293. </w:t>
      </w:r>
      <w:hyperlink r:id="rId16" w:history="1">
        <w:r w:rsidRPr="003752CB">
          <w:rPr>
            <w:rStyle w:val="Hyperlink"/>
            <w:rFonts w:asciiTheme="majorHAnsi" w:hAnsiTheme="majorHAnsi"/>
          </w:rPr>
          <w:t>https://doi.org/10.1016/j.ssmqr.2023.100293</w:t>
        </w:r>
      </w:hyperlink>
    </w:p>
    <w:p w14:paraId="7C6F8077" w14:textId="77777777" w:rsidR="0015393D" w:rsidRPr="003752CB" w:rsidRDefault="0015393D" w:rsidP="00BE7F03">
      <w:pPr>
        <w:spacing w:after="0" w:line="240" w:lineRule="auto"/>
        <w:rPr>
          <w:rFonts w:asciiTheme="majorHAnsi" w:hAnsiTheme="majorHAnsi"/>
        </w:rPr>
      </w:pPr>
    </w:p>
  </w:endnote>
  <w:endnote w:id="18">
    <w:p w14:paraId="656BF1BA" w14:textId="6BCC8B87" w:rsidR="008F0944" w:rsidRPr="003752CB" w:rsidRDefault="008F0944"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Hébert, B.-P., Kevins, C., Mofidi, A., Morris, S., Simionescu, D., &amp; Thicke, M. (2024). </w:t>
      </w:r>
      <w:r w:rsidRPr="003752CB">
        <w:rPr>
          <w:rFonts w:asciiTheme="majorHAnsi" w:hAnsiTheme="majorHAnsi"/>
          <w:i/>
          <w:iCs/>
        </w:rPr>
        <w:t>A demographic, employment and income profile of persons with disabilities aged 15 years and over in Canada, 2022</w:t>
      </w:r>
      <w:r w:rsidRPr="003752CB">
        <w:rPr>
          <w:rFonts w:asciiTheme="majorHAnsi" w:hAnsiTheme="majorHAnsi"/>
        </w:rPr>
        <w:t xml:space="preserve"> (Catalogue No. 89-654-X2024001). Statistics Canada. </w:t>
      </w:r>
      <w:hyperlink r:id="rId17" w:history="1">
        <w:r w:rsidRPr="003752CB">
          <w:rPr>
            <w:rStyle w:val="Hyperlink"/>
            <w:rFonts w:asciiTheme="majorHAnsi" w:hAnsiTheme="majorHAnsi"/>
          </w:rPr>
          <w:t>https://www150.statcan.gc.ca/n1/en/catalogue/89-654-X2024001</w:t>
        </w:r>
      </w:hyperlink>
    </w:p>
    <w:p w14:paraId="1A4B2300" w14:textId="77777777" w:rsidR="0015393D" w:rsidRPr="003752CB" w:rsidRDefault="0015393D" w:rsidP="00BE7F03">
      <w:pPr>
        <w:spacing w:after="0" w:line="240" w:lineRule="auto"/>
        <w:rPr>
          <w:rFonts w:asciiTheme="majorHAnsi" w:hAnsiTheme="majorHAnsi"/>
        </w:rPr>
      </w:pPr>
    </w:p>
  </w:endnote>
  <w:endnote w:id="19">
    <w:p w14:paraId="00D9A6E3" w14:textId="0FE89698" w:rsidR="00F20E5A" w:rsidRPr="003752CB" w:rsidRDefault="00F20E5A"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Statistics Canada. (2025a, March 24). </w:t>
      </w:r>
      <w:r w:rsidRPr="003752CB">
        <w:rPr>
          <w:rFonts w:asciiTheme="majorHAnsi" w:hAnsiTheme="majorHAnsi"/>
          <w:i/>
          <w:iCs/>
        </w:rPr>
        <w:t>Internet use and barriers among persons with disabilities, 2023</w:t>
      </w:r>
      <w:r w:rsidRPr="003752CB">
        <w:rPr>
          <w:rFonts w:asciiTheme="majorHAnsi" w:hAnsiTheme="majorHAnsi"/>
        </w:rPr>
        <w:t>. </w:t>
      </w:r>
      <w:hyperlink r:id="rId18" w:history="1">
        <w:r w:rsidRPr="003752CB">
          <w:rPr>
            <w:rStyle w:val="Hyperlink"/>
            <w:rFonts w:asciiTheme="majorHAnsi" w:hAnsiTheme="majorHAnsi"/>
          </w:rPr>
          <w:t>https://www150.statcan.gc.ca/n1/en/daily-quotidien/250324/dq250324b-eng.pdf?st=D4W2wgd1</w:t>
        </w:r>
      </w:hyperlink>
    </w:p>
    <w:p w14:paraId="58E247A7" w14:textId="77777777" w:rsidR="0015393D" w:rsidRPr="003752CB" w:rsidRDefault="0015393D" w:rsidP="00BE7F03">
      <w:pPr>
        <w:spacing w:after="0" w:line="240" w:lineRule="auto"/>
        <w:rPr>
          <w:rFonts w:asciiTheme="majorHAnsi" w:hAnsiTheme="majorHAnsi"/>
        </w:rPr>
      </w:pPr>
    </w:p>
  </w:endnote>
  <w:endnote w:id="20">
    <w:p w14:paraId="10957E84" w14:textId="77777777" w:rsidR="00971BD1" w:rsidRPr="003752CB" w:rsidRDefault="00971BD1"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 xml:space="preserve">Hachouch, Y., Akef, H., McDiarmid, C., Vachon, M., Morris, S., &amp; Simionescu, D. (2025). Barriers to accessibility related to Internet use: Findings from the 2022 Canadian Survey on Disability. In </w:t>
      </w:r>
      <w:r w:rsidRPr="003752CB">
        <w:rPr>
          <w:rFonts w:asciiTheme="majorHAnsi" w:hAnsiTheme="majorHAnsi"/>
          <w:i/>
          <w:iCs/>
        </w:rPr>
        <w:t>Statistics Canada</w:t>
      </w:r>
      <w:r w:rsidRPr="003752CB">
        <w:rPr>
          <w:rFonts w:asciiTheme="majorHAnsi" w:hAnsiTheme="majorHAnsi"/>
        </w:rPr>
        <w:t xml:space="preserve">. </w:t>
      </w:r>
      <w:hyperlink r:id="rId19" w:history="1">
        <w:r w:rsidRPr="003752CB">
          <w:rPr>
            <w:rStyle w:val="Hyperlink"/>
            <w:rFonts w:asciiTheme="majorHAnsi" w:hAnsiTheme="majorHAnsi"/>
          </w:rPr>
          <w:t>https://www150.statcan.gc.ca/n1/pub/89-654-x/89-654-x2025004-eng.htm</w:t>
        </w:r>
      </w:hyperlink>
    </w:p>
    <w:p w14:paraId="5E7D262E" w14:textId="5223391C" w:rsidR="00971BD1" w:rsidRPr="003752CB" w:rsidRDefault="00971BD1" w:rsidP="00BE7F03">
      <w:pPr>
        <w:pStyle w:val="EndnoteText"/>
        <w:rPr>
          <w:rFonts w:asciiTheme="majorHAnsi" w:hAnsiTheme="majorHAnsi"/>
        </w:rPr>
      </w:pPr>
    </w:p>
  </w:endnote>
  <w:endnote w:id="21">
    <w:p w14:paraId="7A9C143C" w14:textId="2B8EC40D" w:rsidR="00917C08" w:rsidRPr="003752CB" w:rsidRDefault="00917C08" w:rsidP="00BE7F03">
      <w:pPr>
        <w:pStyle w:val="EndnoteText"/>
        <w:rPr>
          <w:rFonts w:asciiTheme="majorHAnsi" w:hAnsiTheme="majorHAnsi"/>
          <w:lang w:val="en-US"/>
        </w:rPr>
      </w:pPr>
    </w:p>
  </w:endnote>
  <w:endnote w:id="22">
    <w:p w14:paraId="52557ACD" w14:textId="29200BD1" w:rsidR="0046564A" w:rsidRPr="003752CB" w:rsidRDefault="0046564A" w:rsidP="00BE7F03">
      <w:pPr>
        <w:pStyle w:val="EndnoteText"/>
        <w:rPr>
          <w:rFonts w:asciiTheme="majorHAnsi" w:hAnsiTheme="majorHAnsi"/>
          <w:lang w:val="en-US"/>
        </w:rPr>
      </w:pPr>
    </w:p>
  </w:endnote>
  <w:endnote w:id="23">
    <w:p w14:paraId="6D890727" w14:textId="5B05BD81" w:rsidR="0046564A" w:rsidRPr="003752CB" w:rsidRDefault="0046564A" w:rsidP="00BE7F03">
      <w:pPr>
        <w:pStyle w:val="EndnoteText"/>
        <w:rPr>
          <w:rFonts w:asciiTheme="majorHAnsi" w:hAnsiTheme="majorHAnsi"/>
          <w:lang w:val="en-US"/>
        </w:rPr>
      </w:pPr>
    </w:p>
  </w:endnote>
  <w:endnote w:id="24">
    <w:p w14:paraId="15E8FA6A" w14:textId="6142E33C" w:rsidR="00CD3605" w:rsidRPr="003752CB" w:rsidRDefault="00CD360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lang w:val="fr-FR"/>
        </w:rPr>
        <w:t xml:space="preserve"> </w:t>
      </w:r>
      <w:r w:rsidRPr="003752CB">
        <w:rPr>
          <w:rFonts w:asciiTheme="majorHAnsi" w:hAnsiTheme="majorHAnsi"/>
          <w:lang w:val="fr-FR"/>
        </w:rPr>
        <w:t xml:space="preserve">Karaoglu, G., Hargittai, E., &amp; Nguyen, M. H. (2022). </w:t>
      </w:r>
      <w:r w:rsidRPr="003752CB">
        <w:rPr>
          <w:rFonts w:asciiTheme="majorHAnsi" w:hAnsiTheme="majorHAnsi"/>
        </w:rPr>
        <w:t>Inequality in online job searching in the age of social media. </w:t>
      </w:r>
      <w:r w:rsidRPr="003752CB">
        <w:rPr>
          <w:rFonts w:asciiTheme="majorHAnsi" w:hAnsiTheme="majorHAnsi"/>
          <w:i/>
          <w:iCs/>
        </w:rPr>
        <w:t>Information, Communication &amp; Society</w:t>
      </w:r>
      <w:r w:rsidRPr="003752CB">
        <w:rPr>
          <w:rFonts w:asciiTheme="majorHAnsi" w:hAnsiTheme="majorHAnsi"/>
        </w:rPr>
        <w:t>, </w:t>
      </w:r>
      <w:r w:rsidRPr="003752CB">
        <w:rPr>
          <w:rFonts w:asciiTheme="majorHAnsi" w:hAnsiTheme="majorHAnsi"/>
          <w:i/>
          <w:iCs/>
        </w:rPr>
        <w:t>25</w:t>
      </w:r>
      <w:r w:rsidRPr="003752CB">
        <w:rPr>
          <w:rFonts w:asciiTheme="majorHAnsi" w:hAnsiTheme="majorHAnsi"/>
        </w:rPr>
        <w:t xml:space="preserve">(12), 1826-1844. </w:t>
      </w:r>
      <w:hyperlink r:id="rId20" w:history="1">
        <w:r w:rsidRPr="003752CB">
          <w:rPr>
            <w:rStyle w:val="Hyperlink"/>
            <w:rFonts w:asciiTheme="majorHAnsi" w:hAnsiTheme="majorHAnsi"/>
          </w:rPr>
          <w:t>https://doi.org/10.1080/1369118X.2021.1897150</w:t>
        </w:r>
      </w:hyperlink>
    </w:p>
  </w:endnote>
  <w:endnote w:id="25">
    <w:p w14:paraId="5F174049" w14:textId="47D84C09" w:rsidR="00F964E2" w:rsidRPr="003752CB" w:rsidRDefault="00F964E2" w:rsidP="00BE7F03">
      <w:pPr>
        <w:pStyle w:val="EndnoteText"/>
        <w:rPr>
          <w:rFonts w:asciiTheme="majorHAnsi" w:hAnsiTheme="majorHAnsi"/>
          <w:lang w:val="en-US"/>
        </w:rPr>
      </w:pPr>
    </w:p>
  </w:endnote>
  <w:endnote w:id="26">
    <w:p w14:paraId="58F107A4" w14:textId="77777777" w:rsidR="00F964E2" w:rsidRPr="003752CB" w:rsidRDefault="00F964E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lang w:val="en-US"/>
        </w:rPr>
        <w:t xml:space="preserve"> Green, A. E., Li, Y., Owen, D., &amp; De Hoyos, M. (2012). </w:t>
      </w:r>
      <w:r w:rsidRPr="003752CB">
        <w:rPr>
          <w:rFonts w:asciiTheme="majorHAnsi" w:hAnsiTheme="majorHAnsi"/>
        </w:rPr>
        <w:t>Inequalities in use of the Internet for job search: similarities and contrasts by economic status in Great Britain. </w:t>
      </w:r>
      <w:r w:rsidRPr="003752CB">
        <w:rPr>
          <w:rFonts w:asciiTheme="majorHAnsi" w:hAnsiTheme="majorHAnsi"/>
          <w:i/>
          <w:iCs/>
        </w:rPr>
        <w:t>Environment and Planning A</w:t>
      </w:r>
      <w:r w:rsidRPr="003752CB">
        <w:rPr>
          <w:rFonts w:asciiTheme="majorHAnsi" w:hAnsiTheme="majorHAnsi"/>
        </w:rPr>
        <w:t>, </w:t>
      </w:r>
      <w:r w:rsidRPr="003752CB">
        <w:rPr>
          <w:rFonts w:asciiTheme="majorHAnsi" w:hAnsiTheme="majorHAnsi"/>
          <w:i/>
          <w:iCs/>
        </w:rPr>
        <w:t>44</w:t>
      </w:r>
      <w:r w:rsidRPr="003752CB">
        <w:rPr>
          <w:rFonts w:asciiTheme="majorHAnsi" w:hAnsiTheme="majorHAnsi"/>
        </w:rPr>
        <w:t xml:space="preserve">(10), 2344-2358. </w:t>
      </w:r>
      <w:hyperlink r:id="rId21" w:history="1">
        <w:r w:rsidRPr="003752CB">
          <w:rPr>
            <w:rStyle w:val="Hyperlink"/>
            <w:rFonts w:asciiTheme="majorHAnsi" w:hAnsiTheme="majorHAnsi"/>
          </w:rPr>
          <w:t>https://doi.org/10.1068/a452</w:t>
        </w:r>
      </w:hyperlink>
    </w:p>
    <w:p w14:paraId="69F8FA3E" w14:textId="31BEFCC4" w:rsidR="00F964E2" w:rsidRPr="003752CB" w:rsidRDefault="00F964E2" w:rsidP="00BE7F03">
      <w:pPr>
        <w:pStyle w:val="EndnoteText"/>
        <w:rPr>
          <w:rFonts w:asciiTheme="majorHAnsi" w:hAnsiTheme="majorHAnsi"/>
          <w:lang w:val="en-US"/>
        </w:rPr>
      </w:pPr>
    </w:p>
  </w:endnote>
  <w:endnote w:id="27">
    <w:p w14:paraId="0DAE56FC" w14:textId="75D40030" w:rsidR="004B4114" w:rsidRPr="003752CB" w:rsidRDefault="004B4114"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World Wide Web Consortium. (2023, November 29). </w:t>
      </w:r>
      <w:r w:rsidRPr="003752CB">
        <w:rPr>
          <w:rFonts w:asciiTheme="majorHAnsi" w:hAnsiTheme="majorHAnsi"/>
          <w:i/>
          <w:iCs/>
        </w:rPr>
        <w:t>WCAG 2 at a glance</w:t>
      </w:r>
      <w:r w:rsidRPr="003752CB">
        <w:rPr>
          <w:rFonts w:asciiTheme="majorHAnsi" w:hAnsiTheme="majorHAnsi"/>
        </w:rPr>
        <w:t xml:space="preserve"> [Summary of Web Content Accessibility Guidelines 2.1]. Web Accessibility Initiative. Retrieved from https://www.w3.org/WAI/standards-guidelines/wcag/glance/World Wide Web Consortium. (n.d.). </w:t>
      </w:r>
      <w:r w:rsidRPr="003752CB">
        <w:rPr>
          <w:rFonts w:asciiTheme="majorHAnsi" w:hAnsiTheme="majorHAnsi"/>
          <w:i/>
          <w:iCs/>
        </w:rPr>
        <w:t>Introduction to web accessibility</w:t>
      </w:r>
      <w:r w:rsidRPr="003752CB">
        <w:rPr>
          <w:rFonts w:asciiTheme="majorHAnsi" w:hAnsiTheme="majorHAnsi"/>
        </w:rPr>
        <w:t xml:space="preserve">. Web Accessibility Initiative (WAI). Retrieved October 15, 2025, from </w:t>
      </w:r>
      <w:hyperlink r:id="rId22" w:tgtFrame="_blank" w:history="1">
        <w:r w:rsidRPr="003752CB">
          <w:rPr>
            <w:rStyle w:val="Hyperlink"/>
            <w:rFonts w:asciiTheme="majorHAnsi" w:hAnsiTheme="majorHAnsi"/>
          </w:rPr>
          <w:t>https://www.w3.org/WAI/fundamentals/accessibility-intro/</w:t>
        </w:r>
      </w:hyperlink>
    </w:p>
  </w:endnote>
  <w:endnote w:id="28">
    <w:p w14:paraId="04ED0431" w14:textId="77777777" w:rsidR="00D90518" w:rsidRPr="003752CB" w:rsidRDefault="00D90518"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lang w:val="en-US"/>
        </w:rPr>
        <w:t xml:space="preserve">Statistics Canada. (2025d, March 24). </w:t>
      </w:r>
      <w:r w:rsidRPr="003752CB">
        <w:rPr>
          <w:rFonts w:asciiTheme="majorHAnsi" w:hAnsiTheme="majorHAnsi"/>
          <w:i/>
          <w:iCs/>
          <w:lang w:val="en-US"/>
        </w:rPr>
        <w:t>Barriers to accessibility in Canada: Communication and Internet use, 2022</w:t>
      </w:r>
      <w:r w:rsidRPr="003752CB">
        <w:rPr>
          <w:rFonts w:asciiTheme="majorHAnsi" w:hAnsiTheme="majorHAnsi"/>
          <w:lang w:val="en-US"/>
        </w:rPr>
        <w:t xml:space="preserve"> [The Daily]. Retrieved from </w:t>
      </w:r>
      <w:hyperlink r:id="rId23" w:history="1">
        <w:r w:rsidRPr="003752CB">
          <w:rPr>
            <w:rStyle w:val="Hyperlink"/>
            <w:rFonts w:asciiTheme="majorHAnsi" w:hAnsiTheme="majorHAnsi"/>
            <w:lang w:val="en-US"/>
          </w:rPr>
          <w:t>https://www150.statcan.gc.ca/t1/tbl1/en/tv.action?pid=1310093801</w:t>
        </w:r>
      </w:hyperlink>
    </w:p>
    <w:p w14:paraId="13C67923" w14:textId="77777777" w:rsidR="00D90518" w:rsidRPr="003752CB" w:rsidRDefault="00D90518" w:rsidP="00BE7F03">
      <w:pPr>
        <w:pStyle w:val="EndnoteText"/>
        <w:rPr>
          <w:rFonts w:asciiTheme="majorHAnsi" w:hAnsiTheme="majorHAnsi"/>
        </w:rPr>
      </w:pPr>
    </w:p>
  </w:endnote>
  <w:endnote w:id="29">
    <w:p w14:paraId="4021E312" w14:textId="77777777" w:rsidR="00D90518" w:rsidRPr="003752CB" w:rsidRDefault="00D90518" w:rsidP="00BE7F03">
      <w:pPr>
        <w:pStyle w:val="EndnoteText"/>
        <w:rPr>
          <w:rFonts w:asciiTheme="majorHAnsi" w:hAnsiTheme="majorHAnsi"/>
          <w:lang w:val="en-US"/>
        </w:rPr>
      </w:pPr>
    </w:p>
  </w:endnote>
  <w:endnote w:id="30">
    <w:p w14:paraId="1768821B" w14:textId="77777777" w:rsidR="00283CA5" w:rsidRPr="003752CB" w:rsidRDefault="00283CA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Statistics Canada. (2025b, February 24). </w:t>
      </w:r>
      <w:r w:rsidRPr="003752CB">
        <w:rPr>
          <w:rFonts w:asciiTheme="majorHAnsi" w:hAnsiTheme="majorHAnsi"/>
          <w:i/>
          <w:iCs/>
        </w:rPr>
        <w:t>Experiences with accessibility and information and communication technology, 2024</w:t>
      </w:r>
      <w:r w:rsidRPr="003752CB">
        <w:rPr>
          <w:rFonts w:asciiTheme="majorHAnsi" w:hAnsiTheme="majorHAnsi"/>
        </w:rPr>
        <w:t>. </w:t>
      </w:r>
      <w:hyperlink r:id="rId24" w:history="1">
        <w:r w:rsidRPr="003752CB">
          <w:rPr>
            <w:rStyle w:val="Hyperlink"/>
            <w:rFonts w:asciiTheme="majorHAnsi" w:hAnsiTheme="majorHAnsi"/>
          </w:rPr>
          <w:t>https://www150.statcan.gc.ca/n1/daily-quotidien/250224/dq250224b-eng.htm</w:t>
        </w:r>
      </w:hyperlink>
    </w:p>
    <w:p w14:paraId="15E25576" w14:textId="1F5410D0" w:rsidR="00283CA5" w:rsidRPr="003752CB" w:rsidRDefault="00283CA5" w:rsidP="00BE7F03">
      <w:pPr>
        <w:pStyle w:val="EndnoteText"/>
        <w:rPr>
          <w:rFonts w:asciiTheme="majorHAnsi" w:hAnsiTheme="majorHAnsi"/>
          <w:lang w:val="en-US"/>
        </w:rPr>
      </w:pPr>
    </w:p>
  </w:endnote>
  <w:endnote w:id="31">
    <w:p w14:paraId="56256953" w14:textId="77777777" w:rsidR="002F3020" w:rsidRPr="003752CB" w:rsidRDefault="002F3020"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 xml:space="preserve">Venkit, P. N., Srinath, M., &amp; Wilson, S. (2023). Automated ableism: An exploration of explicit disability biases in sentiment and toxicity analysis models. </w:t>
      </w:r>
      <w:r w:rsidRPr="003752CB">
        <w:rPr>
          <w:rFonts w:asciiTheme="majorHAnsi" w:hAnsiTheme="majorHAnsi"/>
          <w:i/>
          <w:iCs/>
        </w:rPr>
        <w:t>Proceedings of the 3rd Workshop on Trustworthy Natural Language Processing (TrustNLP 2023),</w:t>
      </w:r>
      <w:r w:rsidRPr="003752CB">
        <w:rPr>
          <w:rFonts w:asciiTheme="majorHAnsi" w:hAnsiTheme="majorHAnsi"/>
        </w:rPr>
        <w:t xml:space="preserve"> pp. 26-34. </w:t>
      </w:r>
      <w:hyperlink r:id="rId25" w:history="1">
        <w:r w:rsidRPr="003752CB">
          <w:rPr>
            <w:rStyle w:val="Hyperlink"/>
            <w:rFonts w:asciiTheme="majorHAnsi" w:hAnsiTheme="majorHAnsi"/>
          </w:rPr>
          <w:t>https://aclanthology.org/2023.trustnlp-1.3.pdf</w:t>
        </w:r>
      </w:hyperlink>
    </w:p>
    <w:p w14:paraId="3FB6D5F9" w14:textId="74468518" w:rsidR="002F3020" w:rsidRPr="003752CB" w:rsidRDefault="002F3020" w:rsidP="00BE7F03">
      <w:pPr>
        <w:pStyle w:val="EndnoteText"/>
        <w:rPr>
          <w:rFonts w:asciiTheme="majorHAnsi" w:hAnsiTheme="majorHAnsi"/>
          <w:lang w:val="en-US"/>
        </w:rPr>
      </w:pPr>
    </w:p>
  </w:endnote>
  <w:endnote w:id="32">
    <w:p w14:paraId="50435C99" w14:textId="77777777" w:rsidR="004E0338" w:rsidRPr="003752CB" w:rsidRDefault="004E0338"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Glazko, K., Mohammed, Y., Kosa, B., Potluri, V., &amp; Mankoff, J. (2024). Identifying and improving disability bias in GPT-based resume screening. In </w:t>
      </w:r>
      <w:r w:rsidRPr="003752CB">
        <w:rPr>
          <w:rFonts w:asciiTheme="majorHAnsi" w:hAnsiTheme="majorHAnsi"/>
          <w:i/>
          <w:iCs/>
        </w:rPr>
        <w:t>Proceedings of the 2024 ACM Conference on Fairness, Accountability, and Transparency</w:t>
      </w:r>
      <w:r w:rsidRPr="003752CB">
        <w:rPr>
          <w:rFonts w:asciiTheme="majorHAnsi" w:hAnsiTheme="majorHAnsi"/>
        </w:rPr>
        <w:t xml:space="preserve"> (</w:t>
      </w:r>
      <w:r w:rsidRPr="003752CB">
        <w:rPr>
          <w:rFonts w:asciiTheme="majorHAnsi" w:hAnsiTheme="majorHAnsi"/>
        </w:rPr>
        <w:t>FAccT ’24), June 3–6, 2024, Rio de Janeiro, Brazil (pp. 1–14). ACM.</w:t>
      </w:r>
    </w:p>
    <w:p w14:paraId="69C235C2" w14:textId="434444E1" w:rsidR="004E0338" w:rsidRPr="003752CB" w:rsidRDefault="004E0338" w:rsidP="00BE7F03">
      <w:pPr>
        <w:pStyle w:val="EndnoteText"/>
        <w:rPr>
          <w:rFonts w:asciiTheme="majorHAnsi" w:hAnsiTheme="majorHAnsi"/>
          <w:lang w:val="en-US"/>
        </w:rPr>
      </w:pPr>
    </w:p>
  </w:endnote>
  <w:endnote w:id="33">
    <w:p w14:paraId="4DCAED5A" w14:textId="77777777" w:rsidR="00EB7221" w:rsidRPr="003752CB" w:rsidRDefault="00EB7221" w:rsidP="00BE7F03">
      <w:pPr>
        <w:pStyle w:val="Heading1"/>
        <w:spacing w:after="0" w:line="240" w:lineRule="auto"/>
        <w:rPr>
          <w:color w:val="auto"/>
        </w:rPr>
      </w:pPr>
      <w:r w:rsidRPr="003752CB">
        <w:rPr>
          <w:rStyle w:val="EndnoteReference"/>
          <w:sz w:val="24"/>
          <w:szCs w:val="24"/>
        </w:rPr>
        <w:endnoteRef/>
      </w:r>
      <w:r w:rsidRPr="003752CB">
        <w:rPr>
          <w:sz w:val="24"/>
          <w:szCs w:val="24"/>
        </w:rPr>
        <w:t xml:space="preserve"> </w:t>
      </w:r>
      <w:r w:rsidRPr="003752CB">
        <w:rPr>
          <w:color w:val="auto"/>
          <w:sz w:val="24"/>
          <w:szCs w:val="24"/>
        </w:rPr>
        <w:t>Abdelaal, N., &amp; Andrey, S. (2022). </w:t>
      </w:r>
      <w:hyperlink r:id="rId26" w:history="1">
        <w:r w:rsidRPr="003752CB">
          <w:rPr>
            <w:rStyle w:val="Hyperlink"/>
            <w:i/>
            <w:iCs/>
            <w:color w:val="auto"/>
            <w:sz w:val="24"/>
            <w:szCs w:val="24"/>
          </w:rPr>
          <w:t>Overcoming digital divides: What we heard and recommendations</w:t>
        </w:r>
      </w:hyperlink>
      <w:r w:rsidRPr="003752CB">
        <w:rPr>
          <w:color w:val="auto"/>
          <w:sz w:val="24"/>
          <w:szCs w:val="24"/>
        </w:rPr>
        <w:t xml:space="preserve">. Retrieved November 7, 2025 from </w:t>
      </w:r>
      <w:hyperlink r:id="rId27" w:history="1">
        <w:r w:rsidRPr="003752CB">
          <w:rPr>
            <w:rStyle w:val="Hyperlink"/>
            <w:color w:val="auto"/>
            <w:sz w:val="24"/>
            <w:szCs w:val="24"/>
          </w:rPr>
          <w:t>https://dais.ca/reports/overcoming-digital-divides/</w:t>
        </w:r>
      </w:hyperlink>
      <w:r w:rsidRPr="003752CB">
        <w:rPr>
          <w:color w:val="auto"/>
          <w:sz w:val="24"/>
          <w:szCs w:val="24"/>
        </w:rPr>
        <w:t xml:space="preserve"> </w:t>
      </w:r>
    </w:p>
    <w:p w14:paraId="7D006A70" w14:textId="77777777" w:rsidR="00EB7221" w:rsidRPr="003752CB" w:rsidRDefault="00EB7221" w:rsidP="00BE7F03">
      <w:pPr>
        <w:pStyle w:val="EndnoteText"/>
        <w:rPr>
          <w:rFonts w:asciiTheme="majorHAnsi" w:hAnsiTheme="majorHAnsi"/>
        </w:rPr>
      </w:pPr>
    </w:p>
  </w:endnote>
  <w:endnote w:id="34">
    <w:p w14:paraId="3DBCD376" w14:textId="77777777" w:rsidR="0059309C" w:rsidRPr="003752CB" w:rsidRDefault="0059309C"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Raihan, M. M. H., Subroto, S., Chowdhury, N., Koch, K., Ruttan, E., &amp; Turin, T. C. (2024). </w:t>
      </w:r>
      <w:hyperlink r:id="rId28" w:history="1">
        <w:r w:rsidRPr="003752CB">
          <w:rPr>
            <w:rStyle w:val="Hyperlink"/>
            <w:rFonts w:asciiTheme="majorHAnsi" w:hAnsiTheme="majorHAnsi"/>
          </w:rPr>
          <w:t>Dimensions and barriers for digital (in)equity and digital divide: a systematic integrative review.</w:t>
        </w:r>
      </w:hyperlink>
      <w:r w:rsidRPr="003752CB">
        <w:rPr>
          <w:rFonts w:asciiTheme="majorHAnsi" w:hAnsiTheme="majorHAnsi"/>
        </w:rPr>
        <w:t> </w:t>
      </w:r>
      <w:r w:rsidRPr="003752CB">
        <w:rPr>
          <w:rFonts w:asciiTheme="majorHAnsi" w:hAnsiTheme="majorHAnsi"/>
          <w:i/>
          <w:iCs/>
        </w:rPr>
        <w:t>Digital Transformation and Society</w:t>
      </w:r>
      <w:r w:rsidRPr="003752CB">
        <w:rPr>
          <w:rFonts w:asciiTheme="majorHAnsi" w:hAnsiTheme="majorHAnsi"/>
        </w:rPr>
        <w:t>.</w:t>
      </w:r>
    </w:p>
    <w:p w14:paraId="35075F0F" w14:textId="10092645" w:rsidR="0059309C" w:rsidRPr="003752CB" w:rsidRDefault="0059309C" w:rsidP="00BE7F03">
      <w:pPr>
        <w:pStyle w:val="EndnoteText"/>
        <w:rPr>
          <w:rFonts w:asciiTheme="majorHAnsi" w:hAnsiTheme="majorHAnsi"/>
          <w:lang w:val="en-US"/>
        </w:rPr>
      </w:pPr>
    </w:p>
  </w:endnote>
  <w:endnote w:id="35">
    <w:p w14:paraId="3DCE788A" w14:textId="77777777" w:rsidR="00C54FDB" w:rsidRPr="003752CB" w:rsidRDefault="00C54FDB"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Skov, A. (2016). </w:t>
      </w:r>
      <w:r w:rsidRPr="003752CB">
        <w:rPr>
          <w:rFonts w:asciiTheme="majorHAnsi" w:hAnsiTheme="majorHAnsi"/>
          <w:i/>
          <w:iCs/>
        </w:rPr>
        <w:t>The Digital Competence Wheel</w:t>
      </w:r>
      <w:r w:rsidRPr="003752CB">
        <w:rPr>
          <w:rFonts w:asciiTheme="majorHAnsi" w:hAnsiTheme="majorHAnsi"/>
        </w:rPr>
        <w:t xml:space="preserve">. Center for Digital </w:t>
      </w:r>
      <w:r w:rsidRPr="003752CB">
        <w:rPr>
          <w:rFonts w:asciiTheme="majorHAnsi" w:hAnsiTheme="majorHAnsi"/>
        </w:rPr>
        <w:t xml:space="preserve">Dannelse. Retrieved from </w:t>
      </w:r>
      <w:hyperlink r:id="rId29" w:history="1">
        <w:r w:rsidRPr="003752CB">
          <w:rPr>
            <w:rStyle w:val="Hyperlink"/>
            <w:rFonts w:asciiTheme="majorHAnsi" w:hAnsiTheme="majorHAnsi"/>
          </w:rPr>
          <w:t>https://digital-competence.eu/dc/front/what-is-digital-competence/</w:t>
        </w:r>
      </w:hyperlink>
      <w:r w:rsidRPr="003752CB">
        <w:rPr>
          <w:rFonts w:asciiTheme="majorHAnsi" w:hAnsiTheme="majorHAnsi"/>
        </w:rPr>
        <w:t xml:space="preserve"> </w:t>
      </w:r>
    </w:p>
    <w:p w14:paraId="1CDB9124" w14:textId="34F311F6" w:rsidR="00C54FDB" w:rsidRPr="003752CB" w:rsidRDefault="00C54FDB" w:rsidP="00BE7F03">
      <w:pPr>
        <w:pStyle w:val="EndnoteText"/>
        <w:rPr>
          <w:rFonts w:asciiTheme="majorHAnsi" w:hAnsiTheme="majorHAnsi"/>
        </w:rPr>
      </w:pPr>
    </w:p>
  </w:endnote>
  <w:endnote w:id="36">
    <w:p w14:paraId="16DB7B81" w14:textId="77777777" w:rsidR="00A441B6" w:rsidRPr="003752CB" w:rsidRDefault="00A441B6"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Employment and Social Development Canada. (2024, June 27). </w:t>
      </w:r>
      <w:r w:rsidRPr="003752CB">
        <w:rPr>
          <w:rFonts w:asciiTheme="majorHAnsi" w:hAnsiTheme="majorHAnsi"/>
          <w:i/>
          <w:iCs/>
        </w:rPr>
        <w:t>Learn about the skills</w:t>
      </w:r>
      <w:r w:rsidRPr="003752CB">
        <w:rPr>
          <w:rFonts w:asciiTheme="majorHAnsi" w:hAnsiTheme="majorHAnsi"/>
        </w:rPr>
        <w:t xml:space="preserve"> [Web page]. Government of Canada. Retrieved October 30, 2025, from </w:t>
      </w:r>
      <w:hyperlink r:id="rId30" w:history="1">
        <w:r w:rsidRPr="003752CB">
          <w:rPr>
            <w:rStyle w:val="Hyperlink"/>
            <w:rFonts w:asciiTheme="majorHAnsi" w:hAnsiTheme="majorHAnsi"/>
          </w:rPr>
          <w:t>https://www.canada.ca/en/services/jobs/training/initiatives/skills-success/understanding-individuals.html</w:t>
        </w:r>
      </w:hyperlink>
      <w:r w:rsidRPr="003752CB">
        <w:rPr>
          <w:rFonts w:asciiTheme="majorHAnsi" w:hAnsiTheme="majorHAnsi"/>
        </w:rPr>
        <w:t xml:space="preserve"> </w:t>
      </w:r>
    </w:p>
    <w:p w14:paraId="42893182" w14:textId="7D1DD4B5" w:rsidR="00A441B6" w:rsidRPr="003752CB" w:rsidRDefault="00A441B6" w:rsidP="00BE7F03">
      <w:pPr>
        <w:pStyle w:val="EndnoteText"/>
        <w:rPr>
          <w:rFonts w:asciiTheme="majorHAnsi" w:hAnsiTheme="majorHAnsi"/>
        </w:rPr>
      </w:pPr>
    </w:p>
  </w:endnote>
  <w:endnote w:id="37">
    <w:p w14:paraId="0FCF1D17" w14:textId="050E96B6" w:rsidR="00A441B6" w:rsidRPr="003752CB" w:rsidRDefault="00A441B6" w:rsidP="00BE7F03">
      <w:pPr>
        <w:pStyle w:val="EndnoteText"/>
        <w:rPr>
          <w:rFonts w:asciiTheme="majorHAnsi" w:hAnsiTheme="majorHAnsi"/>
          <w:lang w:val="en-US"/>
        </w:rPr>
      </w:pPr>
    </w:p>
  </w:endnote>
  <w:endnote w:id="38">
    <w:p w14:paraId="185980A0" w14:textId="77777777" w:rsidR="006D0F47" w:rsidRPr="003752CB" w:rsidRDefault="006D0F47" w:rsidP="00BE7F03">
      <w:pPr>
        <w:spacing w:after="0" w:line="240" w:lineRule="auto"/>
        <w:rPr>
          <w:rFonts w:asciiTheme="majorHAnsi" w:hAnsiTheme="majorHAnsi"/>
          <w:lang w:val="en-US"/>
        </w:rPr>
      </w:pPr>
      <w:r w:rsidRPr="003752CB">
        <w:rPr>
          <w:rStyle w:val="EndnoteReference"/>
          <w:rFonts w:asciiTheme="majorHAnsi" w:hAnsiTheme="majorHAnsi"/>
        </w:rPr>
        <w:endnoteRef/>
      </w:r>
      <w:r w:rsidRPr="003752CB">
        <w:rPr>
          <w:rFonts w:asciiTheme="majorHAnsi" w:hAnsiTheme="majorHAnsi"/>
        </w:rPr>
        <w:t xml:space="preserve"> Anandarajan, M. (2025, October 27). </w:t>
      </w:r>
      <w:r w:rsidRPr="003752CB">
        <w:rPr>
          <w:rFonts w:asciiTheme="majorHAnsi" w:hAnsiTheme="majorHAnsi"/>
          <w:i/>
          <w:iCs/>
          <w:lang w:val="en-US"/>
        </w:rPr>
        <w:t>AI is changing who gets hired – what skills will keep you employed?</w:t>
      </w:r>
      <w:r w:rsidRPr="003752CB">
        <w:rPr>
          <w:rFonts w:asciiTheme="majorHAnsi" w:hAnsiTheme="majorHAnsi"/>
          <w:lang w:val="en-US"/>
        </w:rPr>
        <w:t xml:space="preserve"> The Conversation. </w:t>
      </w:r>
      <w:hyperlink r:id="rId31" w:history="1">
        <w:r w:rsidRPr="003752CB">
          <w:rPr>
            <w:rStyle w:val="Hyperlink"/>
            <w:rFonts w:asciiTheme="majorHAnsi" w:hAnsiTheme="majorHAnsi"/>
            <w:lang w:val="en-US"/>
          </w:rPr>
          <w:t>https://theconversation.com/ai-is-changing-who-gets-hired-what-skills-will-keep-you-employed-267376</w:t>
        </w:r>
      </w:hyperlink>
    </w:p>
    <w:p w14:paraId="6B54777F" w14:textId="3CA82895" w:rsidR="006D0F47" w:rsidRPr="003752CB" w:rsidRDefault="006D0F47" w:rsidP="00BE7F03">
      <w:pPr>
        <w:pStyle w:val="EndnoteText"/>
        <w:rPr>
          <w:rFonts w:asciiTheme="majorHAnsi" w:hAnsiTheme="majorHAnsi"/>
          <w:lang w:val="en-US"/>
        </w:rPr>
      </w:pPr>
    </w:p>
  </w:endnote>
  <w:endnote w:id="39">
    <w:p w14:paraId="0AA9542C" w14:textId="2186D2BF" w:rsidR="00D8311C" w:rsidRPr="003752CB" w:rsidRDefault="00D8311C" w:rsidP="00BE7F03">
      <w:pPr>
        <w:pStyle w:val="EndnoteText"/>
        <w:rPr>
          <w:rFonts w:asciiTheme="majorHAnsi" w:hAnsiTheme="majorHAnsi"/>
          <w:lang w:val="en-US"/>
        </w:rPr>
      </w:pPr>
    </w:p>
  </w:endnote>
  <w:endnote w:id="40">
    <w:p w14:paraId="586918A9" w14:textId="56660CD1" w:rsidR="00B86E23" w:rsidRPr="003752CB" w:rsidRDefault="00B86E23" w:rsidP="00BE7F03">
      <w:pPr>
        <w:pStyle w:val="EndnoteText"/>
        <w:rPr>
          <w:rFonts w:asciiTheme="majorHAnsi" w:hAnsiTheme="majorHAnsi"/>
          <w:lang w:val="en-US"/>
        </w:rPr>
      </w:pPr>
    </w:p>
  </w:endnote>
  <w:endnote w:id="41">
    <w:p w14:paraId="4562CE00" w14:textId="77777777" w:rsidR="00F87545" w:rsidRPr="003752CB" w:rsidRDefault="00F8754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Statistics Canada. (2025e). </w:t>
      </w:r>
      <w:r w:rsidRPr="003752CB">
        <w:rPr>
          <w:rFonts w:asciiTheme="majorHAnsi" w:hAnsiTheme="majorHAnsi"/>
          <w:i/>
          <w:iCs/>
        </w:rPr>
        <w:t>Table 13</w:t>
      </w:r>
      <w:r w:rsidRPr="003752CB">
        <w:rPr>
          <w:rFonts w:asciiTheme="majorHAnsi" w:hAnsiTheme="majorHAnsi"/>
          <w:i/>
          <w:iCs/>
        </w:rPr>
        <w:noBreakHyphen/>
        <w:t>100</w:t>
      </w:r>
      <w:r w:rsidRPr="003752CB">
        <w:rPr>
          <w:rFonts w:asciiTheme="majorHAnsi" w:hAnsiTheme="majorHAnsi"/>
          <w:i/>
          <w:iCs/>
        </w:rPr>
        <w:noBreakHyphen/>
        <w:t>9420</w:t>
      </w:r>
      <w:r w:rsidRPr="003752CB">
        <w:rPr>
          <w:rFonts w:asciiTheme="majorHAnsi" w:hAnsiTheme="majorHAnsi"/>
          <w:i/>
          <w:iCs/>
        </w:rPr>
        <w:noBreakHyphen/>
        <w:t>101 – Digital barriers encountered by Canadians with disabilities in accessing the Internet</w:t>
      </w:r>
      <w:r w:rsidRPr="003752CB">
        <w:rPr>
          <w:rFonts w:asciiTheme="majorHAnsi" w:hAnsiTheme="majorHAnsi"/>
        </w:rPr>
        <w:t xml:space="preserve"> [Data table]. Retrieved October 30, 2025, from </w:t>
      </w:r>
      <w:hyperlink r:id="rId32" w:history="1">
        <w:r w:rsidRPr="003752CB">
          <w:rPr>
            <w:rStyle w:val="Hyperlink"/>
            <w:rFonts w:asciiTheme="majorHAnsi" w:hAnsiTheme="majorHAnsi"/>
          </w:rPr>
          <w:t>https://www150.statcan.gc.ca/t1/tbl1/en/tv.action?pid=1310094201</w:t>
        </w:r>
      </w:hyperlink>
      <w:r w:rsidRPr="003752CB">
        <w:rPr>
          <w:rFonts w:asciiTheme="majorHAnsi" w:hAnsiTheme="majorHAnsi"/>
        </w:rPr>
        <w:t xml:space="preserve"> </w:t>
      </w:r>
    </w:p>
    <w:p w14:paraId="6F647DB3" w14:textId="7A85BF1F" w:rsidR="00F87545" w:rsidRPr="003752CB" w:rsidRDefault="00F87545" w:rsidP="00BE7F03">
      <w:pPr>
        <w:pStyle w:val="EndnoteText"/>
        <w:rPr>
          <w:rFonts w:asciiTheme="majorHAnsi" w:hAnsiTheme="majorHAnsi"/>
        </w:rPr>
      </w:pPr>
    </w:p>
  </w:endnote>
  <w:endnote w:id="42">
    <w:p w14:paraId="0DD0D3E0" w14:textId="424F92DE" w:rsidR="00F87545" w:rsidRPr="003752CB" w:rsidRDefault="00F87545" w:rsidP="00BE7F03">
      <w:pPr>
        <w:pStyle w:val="EndnoteText"/>
        <w:rPr>
          <w:rFonts w:asciiTheme="majorHAnsi" w:hAnsiTheme="majorHAnsi"/>
          <w:lang w:val="en-US"/>
        </w:rPr>
      </w:pPr>
    </w:p>
  </w:endnote>
  <w:endnote w:id="43">
    <w:p w14:paraId="0C9FBB8B" w14:textId="140A4405" w:rsidR="00F87545" w:rsidRPr="003752CB" w:rsidRDefault="00F87545" w:rsidP="00BE7F03">
      <w:pPr>
        <w:pStyle w:val="EndnoteText"/>
        <w:rPr>
          <w:rFonts w:asciiTheme="majorHAnsi" w:hAnsiTheme="majorHAnsi"/>
          <w:lang w:val="en-US"/>
        </w:rPr>
      </w:pPr>
    </w:p>
  </w:endnote>
  <w:endnote w:id="44">
    <w:p w14:paraId="318603A3" w14:textId="77777777" w:rsidR="00997778" w:rsidRPr="003752CB" w:rsidRDefault="00997778" w:rsidP="00BE7F03">
      <w:pPr>
        <w:spacing w:after="0" w:line="240" w:lineRule="auto"/>
        <w:rPr>
          <w:rFonts w:asciiTheme="majorHAnsi" w:hAnsiTheme="majorHAnsi"/>
          <w:lang w:val="en-US"/>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lang w:val="en-US"/>
        </w:rPr>
        <w:t xml:space="preserve">Statistics Canada. (2025f, February 24). </w:t>
      </w:r>
      <w:r w:rsidRPr="003752CB">
        <w:rPr>
          <w:rFonts w:asciiTheme="majorHAnsi" w:hAnsiTheme="majorHAnsi"/>
          <w:i/>
          <w:iCs/>
          <w:lang w:val="en-US"/>
        </w:rPr>
        <w:t>Persons with disabilities or long</w:t>
      </w:r>
      <w:r w:rsidRPr="003752CB">
        <w:rPr>
          <w:rFonts w:asciiTheme="majorHAnsi" w:hAnsiTheme="majorHAnsi"/>
          <w:i/>
          <w:iCs/>
          <w:lang w:val="en-US"/>
        </w:rPr>
        <w:noBreakHyphen/>
        <w:t>term conditions and barriers in their online activities, 2024</w:t>
      </w:r>
      <w:r w:rsidRPr="003752CB">
        <w:rPr>
          <w:rFonts w:asciiTheme="majorHAnsi" w:hAnsiTheme="majorHAnsi"/>
          <w:lang w:val="en-US"/>
        </w:rPr>
        <w:t xml:space="preserve"> [The Daily]. Retrieved from </w:t>
      </w:r>
      <w:hyperlink r:id="rId33" w:history="1">
        <w:r w:rsidRPr="003752CB">
          <w:rPr>
            <w:rStyle w:val="Hyperlink"/>
            <w:rFonts w:asciiTheme="majorHAnsi" w:hAnsiTheme="majorHAnsi"/>
            <w:lang w:val="en-US"/>
          </w:rPr>
          <w:t>https://www150.statcan.gc.ca/t1/tbl1/en/tv.action?pid=1310093901</w:t>
        </w:r>
      </w:hyperlink>
      <w:r w:rsidRPr="003752CB">
        <w:rPr>
          <w:rFonts w:asciiTheme="majorHAnsi" w:hAnsiTheme="majorHAnsi"/>
          <w:lang w:val="en-US"/>
        </w:rPr>
        <w:t xml:space="preserve"> </w:t>
      </w:r>
    </w:p>
    <w:p w14:paraId="3C5372B8" w14:textId="7D4644CD" w:rsidR="00997778" w:rsidRPr="003752CB" w:rsidRDefault="00997778" w:rsidP="00BE7F03">
      <w:pPr>
        <w:pStyle w:val="EndnoteText"/>
        <w:rPr>
          <w:rFonts w:asciiTheme="majorHAnsi" w:hAnsiTheme="majorHAnsi"/>
          <w:lang w:val="en-US"/>
        </w:rPr>
      </w:pPr>
    </w:p>
  </w:endnote>
  <w:endnote w:id="45">
    <w:p w14:paraId="3FE8735B" w14:textId="11A4FAB0" w:rsidR="006153FF" w:rsidRPr="003752CB" w:rsidRDefault="006153FF" w:rsidP="00BE7F03">
      <w:pPr>
        <w:pStyle w:val="EndnoteText"/>
        <w:rPr>
          <w:rFonts w:asciiTheme="majorHAnsi" w:hAnsiTheme="majorHAnsi"/>
          <w:lang w:val="en-US"/>
        </w:rPr>
      </w:pPr>
    </w:p>
  </w:endnote>
  <w:endnote w:id="46">
    <w:p w14:paraId="227330DB" w14:textId="77777777" w:rsidR="006C6CBF" w:rsidRPr="003752CB" w:rsidRDefault="006C6CBF"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lang w:val="en-US"/>
        </w:rPr>
        <w:t xml:space="preserve">Brookings Institution. </w:t>
      </w:r>
      <w:r w:rsidRPr="003752CB">
        <w:rPr>
          <w:rFonts w:asciiTheme="majorHAnsi" w:hAnsiTheme="majorHAnsi"/>
        </w:rPr>
        <w:t>(2025, June 11). </w:t>
      </w:r>
      <w:r w:rsidRPr="003752CB">
        <w:rPr>
          <w:rFonts w:asciiTheme="majorHAnsi" w:hAnsiTheme="majorHAnsi"/>
          <w:i/>
          <w:iCs/>
        </w:rPr>
        <w:t>Six key steps for improving equality and efficiency in digital public infrastructure</w:t>
      </w:r>
      <w:r w:rsidRPr="003752CB">
        <w:rPr>
          <w:rFonts w:asciiTheme="majorHAnsi" w:hAnsiTheme="majorHAnsi"/>
        </w:rPr>
        <w:t>. </w:t>
      </w:r>
      <w:hyperlink r:id="rId34" w:history="1">
        <w:r w:rsidRPr="003752CB">
          <w:rPr>
            <w:rStyle w:val="Hyperlink"/>
            <w:rFonts w:asciiTheme="majorHAnsi" w:hAnsiTheme="majorHAnsi"/>
          </w:rPr>
          <w:t>https://www.brookings.edu/articles/six-key-steps-for-improving-equality-and-efficiency-in-digital-public-infrastructure/</w:t>
        </w:r>
      </w:hyperlink>
    </w:p>
    <w:p w14:paraId="56A7E695" w14:textId="38260512" w:rsidR="006C6CBF" w:rsidRPr="003752CB" w:rsidRDefault="006C6CBF" w:rsidP="00BE7F03">
      <w:pPr>
        <w:pStyle w:val="EndnoteText"/>
        <w:rPr>
          <w:rFonts w:asciiTheme="majorHAnsi" w:hAnsiTheme="majorHAnsi"/>
        </w:rPr>
      </w:pPr>
    </w:p>
  </w:endnote>
  <w:endnote w:id="47">
    <w:p w14:paraId="0B30687C" w14:textId="77777777" w:rsidR="00880356" w:rsidRPr="003752CB" w:rsidRDefault="00880356"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UNICEF. (n.d.). </w:t>
      </w:r>
      <w:r w:rsidRPr="003752CB">
        <w:rPr>
          <w:rFonts w:asciiTheme="majorHAnsi" w:hAnsiTheme="majorHAnsi"/>
          <w:i/>
          <w:iCs/>
        </w:rPr>
        <w:t>Equity and inclusion in digital education</w:t>
      </w:r>
      <w:r w:rsidRPr="003752CB">
        <w:rPr>
          <w:rFonts w:asciiTheme="majorHAnsi" w:hAnsiTheme="majorHAnsi"/>
        </w:rPr>
        <w:t>. </w:t>
      </w:r>
      <w:hyperlink r:id="rId35" w:history="1">
        <w:r w:rsidRPr="003752CB">
          <w:rPr>
            <w:rStyle w:val="Hyperlink"/>
            <w:rFonts w:asciiTheme="majorHAnsi" w:hAnsiTheme="majorHAnsi"/>
          </w:rPr>
          <w:t>https://www.unicef.org/digitaleducation/equityandinclusion</w:t>
        </w:r>
      </w:hyperlink>
    </w:p>
    <w:p w14:paraId="29FA0758" w14:textId="5B25171D" w:rsidR="00880356" w:rsidRPr="003752CB" w:rsidRDefault="00880356" w:rsidP="00BE7F03">
      <w:pPr>
        <w:pStyle w:val="EndnoteText"/>
        <w:rPr>
          <w:rFonts w:asciiTheme="majorHAnsi" w:hAnsiTheme="majorHAnsi"/>
          <w:lang w:val="en-US"/>
        </w:rPr>
      </w:pPr>
    </w:p>
  </w:endnote>
  <w:endnote w:id="48">
    <w:p w14:paraId="3860797D" w14:textId="77777777" w:rsidR="007423C8" w:rsidRPr="003752CB" w:rsidRDefault="007423C8"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United Nations Development Programme. (n.d.). </w:t>
      </w:r>
      <w:r w:rsidRPr="003752CB">
        <w:rPr>
          <w:rFonts w:asciiTheme="majorHAnsi" w:hAnsiTheme="majorHAnsi"/>
          <w:i/>
          <w:iCs/>
        </w:rPr>
        <w:t>Bridge the digital divide</w:t>
      </w:r>
      <w:r w:rsidRPr="003752CB">
        <w:rPr>
          <w:rFonts w:asciiTheme="majorHAnsi" w:hAnsiTheme="majorHAnsi"/>
        </w:rPr>
        <w:t>. </w:t>
      </w:r>
      <w:hyperlink r:id="rId36" w:history="1">
        <w:r w:rsidRPr="003752CB">
          <w:rPr>
            <w:rStyle w:val="Hyperlink"/>
            <w:rFonts w:asciiTheme="majorHAnsi" w:hAnsiTheme="majorHAnsi"/>
          </w:rPr>
          <w:t>https://www.undp.org/digital/standards/2-bridge-digital-divide</w:t>
        </w:r>
      </w:hyperlink>
    </w:p>
    <w:p w14:paraId="3D10299B" w14:textId="682171D2" w:rsidR="007423C8" w:rsidRPr="003752CB" w:rsidRDefault="007423C8" w:rsidP="00BE7F03">
      <w:pPr>
        <w:pStyle w:val="EndnoteText"/>
        <w:rPr>
          <w:rFonts w:asciiTheme="majorHAnsi" w:hAnsiTheme="majorHAnsi"/>
          <w:lang w:val="en-US"/>
        </w:rPr>
      </w:pPr>
    </w:p>
  </w:endnote>
  <w:endnote w:id="49">
    <w:p w14:paraId="00496851" w14:textId="77777777" w:rsidR="001465C3" w:rsidRPr="003752CB" w:rsidRDefault="001465C3"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Treasury Board of Canada Secretariat. (2011). </w:t>
      </w:r>
      <w:r w:rsidRPr="003752CB">
        <w:rPr>
          <w:rFonts w:asciiTheme="majorHAnsi" w:hAnsiTheme="majorHAnsi"/>
          <w:i/>
          <w:iCs/>
        </w:rPr>
        <w:t>Standard on Web Accessibility</w:t>
      </w:r>
      <w:r w:rsidRPr="003752CB">
        <w:rPr>
          <w:rFonts w:asciiTheme="majorHAnsi" w:hAnsiTheme="majorHAnsi"/>
        </w:rPr>
        <w:t>. Government of Canada. </w:t>
      </w:r>
      <w:hyperlink r:id="rId37" w:history="1">
        <w:r w:rsidRPr="003752CB">
          <w:rPr>
            <w:rStyle w:val="Hyperlink"/>
            <w:rFonts w:asciiTheme="majorHAnsi" w:hAnsiTheme="majorHAnsi"/>
          </w:rPr>
          <w:t>https://www.tbs-sct.canada.ca/pol/doc-eng.aspx?id=23601</w:t>
        </w:r>
      </w:hyperlink>
      <w:r w:rsidRPr="003752CB">
        <w:rPr>
          <w:rFonts w:asciiTheme="majorHAnsi" w:hAnsiTheme="majorHAnsi"/>
        </w:rPr>
        <w:t xml:space="preserve">  </w:t>
      </w:r>
    </w:p>
    <w:p w14:paraId="48AE9ABA" w14:textId="1B33A619" w:rsidR="001465C3" w:rsidRPr="003752CB" w:rsidRDefault="001465C3" w:rsidP="00BE7F03">
      <w:pPr>
        <w:pStyle w:val="EndnoteText"/>
        <w:rPr>
          <w:rFonts w:asciiTheme="majorHAnsi" w:hAnsiTheme="majorHAnsi"/>
        </w:rPr>
      </w:pPr>
    </w:p>
  </w:endnote>
  <w:endnote w:id="50">
    <w:p w14:paraId="2A285AEA" w14:textId="77777777" w:rsidR="00750A1D" w:rsidRPr="003752CB" w:rsidRDefault="00750A1D" w:rsidP="00BE7F03">
      <w:pPr>
        <w:spacing w:after="0" w:line="240" w:lineRule="auto"/>
        <w:rPr>
          <w:rFonts w:asciiTheme="majorHAnsi" w:hAnsiTheme="majorHAnsi"/>
          <w:lang w:val="fr-FR"/>
        </w:rPr>
      </w:pPr>
      <w:r w:rsidRPr="003752CB">
        <w:rPr>
          <w:rStyle w:val="EndnoteReference"/>
          <w:rFonts w:asciiTheme="majorHAnsi" w:hAnsiTheme="majorHAnsi"/>
        </w:rPr>
        <w:endnoteRef/>
      </w:r>
      <w:r w:rsidRPr="003752CB">
        <w:rPr>
          <w:rFonts w:asciiTheme="majorHAnsi" w:hAnsiTheme="majorHAnsi"/>
        </w:rPr>
        <w:t xml:space="preserve"> Teale, C. (2025, March 25). </w:t>
      </w:r>
      <w:r w:rsidRPr="003752CB">
        <w:rPr>
          <w:rFonts w:asciiTheme="majorHAnsi" w:hAnsiTheme="majorHAnsi"/>
          <w:i/>
          <w:iCs/>
        </w:rPr>
        <w:t>Government websites are littered with accessibility issues, research finds</w:t>
      </w:r>
      <w:r w:rsidRPr="003752CB">
        <w:rPr>
          <w:rFonts w:asciiTheme="majorHAnsi" w:hAnsiTheme="majorHAnsi"/>
        </w:rPr>
        <w:t xml:space="preserve">. </w:t>
      </w:r>
      <w:r w:rsidRPr="003752CB">
        <w:rPr>
          <w:rFonts w:asciiTheme="majorHAnsi" w:hAnsiTheme="majorHAnsi"/>
          <w:lang w:val="fr-FR"/>
        </w:rPr>
        <w:t>Route Fifty. </w:t>
      </w:r>
      <w:r>
        <w:fldChar w:fldCharType="begin"/>
      </w:r>
      <w:r w:rsidRPr="00FE17F3">
        <w:rPr>
          <w:lang w:val="fr-CA"/>
        </w:rPr>
        <w:instrText>HYPERLINK "https://www.route-fifty.com/digital-government/2025/03/government-websites-are-littered-accessibility-issues-research-finds/404026/"</w:instrText>
      </w:r>
      <w:r>
        <w:fldChar w:fldCharType="separate"/>
      </w:r>
      <w:r w:rsidRPr="003752CB">
        <w:rPr>
          <w:rStyle w:val="Hyperlink"/>
          <w:rFonts w:asciiTheme="majorHAnsi" w:hAnsiTheme="majorHAnsi"/>
          <w:lang w:val="fr-FR"/>
        </w:rPr>
        <w:t>https://www.route-fifty.com/digital-government/2025/03/government-websites-are-littered-accessibility-issues-research-finds/404026/</w:t>
      </w:r>
      <w:r>
        <w:fldChar w:fldCharType="end"/>
      </w:r>
    </w:p>
    <w:p w14:paraId="1087A181" w14:textId="69348132" w:rsidR="00750A1D" w:rsidRPr="003752CB" w:rsidRDefault="00750A1D" w:rsidP="00BE7F03">
      <w:pPr>
        <w:pStyle w:val="EndnoteText"/>
        <w:rPr>
          <w:rFonts w:asciiTheme="majorHAnsi" w:hAnsiTheme="majorHAnsi"/>
          <w:lang w:val="fr-FR"/>
        </w:rPr>
      </w:pPr>
    </w:p>
  </w:endnote>
  <w:endnote w:id="51">
    <w:p w14:paraId="7CC4AA88" w14:textId="77777777" w:rsidR="00DD5DEC" w:rsidRPr="003752CB" w:rsidRDefault="00DD5DEC" w:rsidP="00BE7F03">
      <w:pPr>
        <w:spacing w:after="0" w:line="240" w:lineRule="auto"/>
        <w:rPr>
          <w:rFonts w:asciiTheme="majorHAnsi" w:hAnsiTheme="majorHAnsi"/>
          <w:lang w:val="en-US"/>
        </w:rPr>
      </w:pPr>
      <w:r w:rsidRPr="003752CB">
        <w:rPr>
          <w:rStyle w:val="EndnoteReference"/>
          <w:rFonts w:asciiTheme="majorHAnsi" w:hAnsiTheme="majorHAnsi"/>
        </w:rPr>
        <w:endnoteRef/>
      </w:r>
      <w:r w:rsidRPr="003752CB">
        <w:rPr>
          <w:rFonts w:asciiTheme="majorHAnsi" w:hAnsiTheme="majorHAnsi"/>
        </w:rPr>
        <w:t xml:space="preserve"> Accessibility Standards Canada. (2024, May 31). </w:t>
      </w:r>
      <w:r w:rsidRPr="003752CB">
        <w:rPr>
          <w:rFonts w:asciiTheme="majorHAnsi" w:hAnsiTheme="majorHAnsi"/>
          <w:i/>
          <w:iCs/>
        </w:rPr>
        <w:t>CAN/ASC</w:t>
      </w:r>
      <w:r w:rsidRPr="003752CB">
        <w:rPr>
          <w:rFonts w:ascii="Arial" w:hAnsi="Arial" w:cs="Arial"/>
          <w:i/>
          <w:iCs/>
        </w:rPr>
        <w:t> </w:t>
      </w:r>
      <w:r w:rsidRPr="003752CB">
        <w:rPr>
          <w:rFonts w:asciiTheme="majorHAnsi" w:hAnsiTheme="majorHAnsi" w:cs="Aptos"/>
          <w:i/>
          <w:iCs/>
        </w:rPr>
        <w:t>–</w:t>
      </w:r>
      <w:r w:rsidRPr="003752CB">
        <w:rPr>
          <w:rFonts w:ascii="Arial" w:hAnsi="Arial" w:cs="Arial"/>
          <w:i/>
          <w:iCs/>
        </w:rPr>
        <w:t> </w:t>
      </w:r>
      <w:r w:rsidRPr="003752CB">
        <w:rPr>
          <w:rFonts w:asciiTheme="majorHAnsi" w:hAnsiTheme="majorHAnsi"/>
          <w:i/>
          <w:iCs/>
        </w:rPr>
        <w:t>EN</w:t>
      </w:r>
      <w:r w:rsidRPr="003752CB">
        <w:rPr>
          <w:rFonts w:ascii="Arial" w:hAnsi="Arial" w:cs="Arial"/>
          <w:i/>
          <w:iCs/>
        </w:rPr>
        <w:t> </w:t>
      </w:r>
      <w:r w:rsidRPr="003752CB">
        <w:rPr>
          <w:rFonts w:asciiTheme="majorHAnsi" w:hAnsiTheme="majorHAnsi"/>
          <w:i/>
          <w:iCs/>
        </w:rPr>
        <w:t>301</w:t>
      </w:r>
      <w:r w:rsidRPr="003752CB">
        <w:rPr>
          <w:rFonts w:ascii="Arial" w:hAnsi="Arial" w:cs="Arial"/>
          <w:i/>
          <w:iCs/>
        </w:rPr>
        <w:t> </w:t>
      </w:r>
      <w:r w:rsidRPr="003752CB">
        <w:rPr>
          <w:rFonts w:asciiTheme="majorHAnsi" w:hAnsiTheme="majorHAnsi"/>
          <w:i/>
          <w:iCs/>
        </w:rPr>
        <w:t>549:2024 accessibility requirements for ICT products and services</w:t>
      </w:r>
      <w:r w:rsidRPr="003752CB">
        <w:rPr>
          <w:rFonts w:asciiTheme="majorHAnsi" w:hAnsiTheme="majorHAnsi"/>
        </w:rPr>
        <w:t xml:space="preserve"> [National Standard of Canada]. Retrieved from </w:t>
      </w:r>
      <w:hyperlink r:id="rId38" w:history="1">
        <w:r w:rsidRPr="003752CB">
          <w:rPr>
            <w:rStyle w:val="Hyperlink"/>
            <w:rFonts w:asciiTheme="majorHAnsi" w:hAnsiTheme="majorHAnsi"/>
          </w:rPr>
          <w:t>https://accessible.canada.ca/creating-accessibility-standards/canasc-en-301-5492024-accessibility-requirements-ict-products-and-services</w:t>
        </w:r>
      </w:hyperlink>
    </w:p>
    <w:p w14:paraId="662B07B8" w14:textId="1FCF1BF8" w:rsidR="00DD5DEC" w:rsidRPr="003752CB" w:rsidRDefault="00DD5DEC" w:rsidP="00BE7F03">
      <w:pPr>
        <w:pStyle w:val="EndnoteText"/>
        <w:rPr>
          <w:rFonts w:asciiTheme="majorHAnsi" w:hAnsiTheme="majorHAnsi"/>
          <w:lang w:val="en-US"/>
        </w:rPr>
      </w:pPr>
    </w:p>
  </w:endnote>
  <w:endnote w:id="52">
    <w:p w14:paraId="0263B1F2" w14:textId="77777777" w:rsidR="00AE34A9" w:rsidRPr="003752CB" w:rsidRDefault="00AE34A9"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Continual Engine. (2024). </w:t>
      </w:r>
      <w:r w:rsidRPr="003752CB">
        <w:rPr>
          <w:rFonts w:asciiTheme="majorHAnsi" w:hAnsiTheme="majorHAnsi"/>
          <w:i/>
          <w:iCs/>
        </w:rPr>
        <w:t>WCAG 2.2 compliance: Everything you need to know</w:t>
      </w:r>
      <w:r w:rsidRPr="003752CB">
        <w:rPr>
          <w:rFonts w:asciiTheme="majorHAnsi" w:hAnsiTheme="majorHAnsi"/>
        </w:rPr>
        <w:t>. </w:t>
      </w:r>
      <w:hyperlink r:id="rId39" w:history="1">
        <w:r w:rsidRPr="003752CB">
          <w:rPr>
            <w:rStyle w:val="Hyperlink"/>
            <w:rFonts w:asciiTheme="majorHAnsi" w:hAnsiTheme="majorHAnsi"/>
          </w:rPr>
          <w:t>https://www.continualengine.com/blog/wcag-2-2-compliance/</w:t>
        </w:r>
      </w:hyperlink>
    </w:p>
    <w:p w14:paraId="7370A29D" w14:textId="45AE4E21" w:rsidR="00AE34A9" w:rsidRPr="003752CB" w:rsidRDefault="00AE34A9" w:rsidP="00BE7F03">
      <w:pPr>
        <w:pStyle w:val="EndnoteText"/>
        <w:rPr>
          <w:rFonts w:asciiTheme="majorHAnsi" w:hAnsiTheme="majorHAnsi"/>
          <w:lang w:val="en-US"/>
        </w:rPr>
      </w:pPr>
    </w:p>
  </w:endnote>
  <w:endnote w:id="53">
    <w:p w14:paraId="0E258CEA" w14:textId="6468FE52" w:rsidR="009E3C9D" w:rsidRPr="003752CB" w:rsidRDefault="009E3C9D" w:rsidP="00BE7F03">
      <w:pPr>
        <w:pStyle w:val="EndnoteText"/>
        <w:rPr>
          <w:rFonts w:asciiTheme="majorHAnsi" w:hAnsiTheme="majorHAnsi"/>
          <w:lang w:val="en-US"/>
        </w:rPr>
      </w:pPr>
    </w:p>
  </w:endnote>
  <w:endnote w:id="54">
    <w:p w14:paraId="1DAF8E64" w14:textId="77777777" w:rsidR="00B50FB1" w:rsidRPr="003752CB" w:rsidRDefault="00B50FB1"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Montgomery, D., &amp; Snow, K. (2024). Supporting students with diverse learning needs using Universal Design for Learning in online learning: Voice of the students. </w:t>
      </w:r>
      <w:r w:rsidRPr="003752CB">
        <w:rPr>
          <w:rFonts w:asciiTheme="majorHAnsi" w:hAnsiTheme="majorHAnsi"/>
          <w:i/>
          <w:iCs/>
        </w:rPr>
        <w:t>Journal of Teaching and Learning, 18</w:t>
      </w:r>
      <w:r w:rsidRPr="003752CB">
        <w:rPr>
          <w:rFonts w:asciiTheme="majorHAnsi" w:hAnsiTheme="majorHAnsi"/>
        </w:rPr>
        <w:t>(2). </w:t>
      </w:r>
      <w:hyperlink r:id="rId40" w:history="1">
        <w:r w:rsidRPr="003752CB">
          <w:rPr>
            <w:rStyle w:val="Hyperlink"/>
            <w:rFonts w:asciiTheme="majorHAnsi" w:hAnsiTheme="majorHAnsi"/>
          </w:rPr>
          <w:t>https://doi.org/10.22329/jtl.v18i2.7453</w:t>
        </w:r>
      </w:hyperlink>
    </w:p>
    <w:p w14:paraId="67121FF4" w14:textId="72F64BB8" w:rsidR="00B50FB1" w:rsidRPr="003752CB" w:rsidRDefault="00B50FB1" w:rsidP="00BE7F03">
      <w:pPr>
        <w:pStyle w:val="EndnoteText"/>
        <w:rPr>
          <w:rFonts w:asciiTheme="majorHAnsi" w:hAnsiTheme="majorHAnsi"/>
        </w:rPr>
      </w:pPr>
    </w:p>
  </w:endnote>
  <w:endnote w:id="55">
    <w:p w14:paraId="69CA3EBB" w14:textId="77777777" w:rsidR="00280074" w:rsidRPr="003752CB" w:rsidRDefault="00280074"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Takacs, S., &amp; Zhang, J. (2020). </w:t>
      </w:r>
      <w:r w:rsidRPr="003752CB">
        <w:rPr>
          <w:rFonts w:asciiTheme="majorHAnsi" w:hAnsiTheme="majorHAnsi"/>
          <w:i/>
          <w:iCs/>
        </w:rPr>
        <w:t>Universal Design for Learning: A practical guide</w:t>
      </w:r>
      <w:r w:rsidRPr="003752CB">
        <w:rPr>
          <w:rFonts w:asciiTheme="majorHAnsi" w:hAnsiTheme="majorHAnsi"/>
        </w:rPr>
        <w:t>. Justice Institute of British Columbia. </w:t>
      </w:r>
      <w:hyperlink r:id="rId41" w:history="1">
        <w:r w:rsidRPr="003752CB">
          <w:rPr>
            <w:rStyle w:val="Hyperlink"/>
            <w:rFonts w:asciiTheme="majorHAnsi" w:hAnsiTheme="majorHAnsi"/>
          </w:rPr>
          <w:t>https://ctli.jibc.ca/wp-content/uploads/2020/04/UDL_A_Practical_Guide.pdf</w:t>
        </w:r>
      </w:hyperlink>
    </w:p>
    <w:p w14:paraId="29253C02" w14:textId="0ED582D9" w:rsidR="00280074" w:rsidRPr="003752CB" w:rsidRDefault="00280074" w:rsidP="00BE7F03">
      <w:pPr>
        <w:pStyle w:val="EndnoteText"/>
        <w:rPr>
          <w:rFonts w:asciiTheme="majorHAnsi" w:hAnsiTheme="majorHAnsi"/>
        </w:rPr>
      </w:pPr>
    </w:p>
  </w:endnote>
  <w:endnote w:id="56">
    <w:p w14:paraId="66EB149D" w14:textId="7C03DD4C" w:rsidR="00280074" w:rsidRPr="003752CB" w:rsidRDefault="00280074" w:rsidP="00BE7F03">
      <w:pPr>
        <w:pStyle w:val="EndnoteText"/>
        <w:rPr>
          <w:rFonts w:asciiTheme="majorHAnsi" w:hAnsiTheme="majorHAnsi"/>
          <w:lang w:val="en-US"/>
        </w:rPr>
      </w:pPr>
    </w:p>
  </w:endnote>
  <w:endnote w:id="57">
    <w:p w14:paraId="79A7FC70" w14:textId="77777777" w:rsidR="00BE5818" w:rsidRPr="003752CB" w:rsidRDefault="00BE5818" w:rsidP="00BE7F03">
      <w:pPr>
        <w:spacing w:after="0" w:line="240" w:lineRule="auto"/>
        <w:rPr>
          <w:rFonts w:asciiTheme="majorHAnsi" w:hAnsiTheme="majorHAnsi"/>
          <w:lang w:val="en-US"/>
        </w:rPr>
      </w:pPr>
      <w:r w:rsidRPr="003752CB">
        <w:rPr>
          <w:rStyle w:val="EndnoteReference"/>
          <w:rFonts w:asciiTheme="majorHAnsi" w:hAnsiTheme="majorHAnsi"/>
        </w:rPr>
        <w:endnoteRef/>
      </w:r>
      <w:r w:rsidRPr="003752CB">
        <w:rPr>
          <w:rFonts w:asciiTheme="majorHAnsi" w:hAnsiTheme="majorHAnsi"/>
        </w:rPr>
        <w:t xml:space="preserve"> Colleges and Institutes Canada. (n.d.). </w:t>
      </w:r>
      <w:r w:rsidRPr="003752CB">
        <w:rPr>
          <w:rFonts w:asciiTheme="majorHAnsi" w:hAnsiTheme="majorHAnsi"/>
          <w:i/>
          <w:iCs/>
        </w:rPr>
        <w:t>Moving learning and teaching online</w:t>
      </w:r>
      <w:r w:rsidRPr="003752CB">
        <w:rPr>
          <w:rFonts w:asciiTheme="majorHAnsi" w:hAnsiTheme="majorHAnsi"/>
        </w:rPr>
        <w:t>. </w:t>
      </w:r>
      <w:hyperlink r:id="rId42" w:history="1">
        <w:r w:rsidRPr="003752CB">
          <w:rPr>
            <w:rStyle w:val="Hyperlink"/>
            <w:rFonts w:asciiTheme="majorHAnsi" w:hAnsiTheme="majorHAnsi"/>
            <w:lang w:val="en-US"/>
          </w:rPr>
          <w:t>https://www.collegesinstitutes.ca/moving-learning-and-teaching-online/</w:t>
        </w:r>
      </w:hyperlink>
    </w:p>
    <w:p w14:paraId="6D11CA3F" w14:textId="3C8C50FE" w:rsidR="00BE5818" w:rsidRPr="003752CB" w:rsidRDefault="00BE5818" w:rsidP="00BE7F03">
      <w:pPr>
        <w:pStyle w:val="EndnoteText"/>
        <w:rPr>
          <w:rFonts w:asciiTheme="majorHAnsi" w:hAnsiTheme="majorHAnsi"/>
          <w:lang w:val="en-US"/>
        </w:rPr>
      </w:pPr>
    </w:p>
  </w:endnote>
  <w:endnote w:id="58">
    <w:p w14:paraId="6D4EAAD9" w14:textId="77777777" w:rsidR="00C35F10" w:rsidRPr="003752CB" w:rsidRDefault="00C35F10"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Stastny, P. (2020, September 8). </w:t>
      </w:r>
      <w:r w:rsidRPr="003752CB">
        <w:rPr>
          <w:rFonts w:asciiTheme="majorHAnsi" w:hAnsiTheme="majorHAnsi"/>
          <w:i/>
          <w:iCs/>
        </w:rPr>
        <w:t>Uncharted waters: New research for creating a Canadian e-learning framework</w:t>
      </w:r>
      <w:r w:rsidRPr="003752CB">
        <w:rPr>
          <w:rFonts w:asciiTheme="majorHAnsi" w:hAnsiTheme="majorHAnsi"/>
        </w:rPr>
        <w:t>. Information and Communications Technology Council (ICTC). </w:t>
      </w:r>
      <w:hyperlink r:id="rId43" w:history="1">
        <w:r w:rsidRPr="003752CB">
          <w:rPr>
            <w:rStyle w:val="Hyperlink"/>
            <w:rFonts w:asciiTheme="majorHAnsi" w:hAnsiTheme="majorHAnsi"/>
          </w:rPr>
          <w:t>https://ictc-ctic.ca/news-events/uncharted-waters-new-research-for-creating-a-canadian-e-learning-framework</w:t>
        </w:r>
      </w:hyperlink>
    </w:p>
    <w:p w14:paraId="4ECB1E7D" w14:textId="7DFD2610" w:rsidR="00C35F10" w:rsidRPr="003752CB" w:rsidRDefault="00C35F10" w:rsidP="00BE7F03">
      <w:pPr>
        <w:pStyle w:val="EndnoteText"/>
        <w:rPr>
          <w:rFonts w:asciiTheme="majorHAnsi" w:hAnsiTheme="majorHAnsi"/>
        </w:rPr>
      </w:pPr>
    </w:p>
  </w:endnote>
  <w:endnote w:id="59">
    <w:p w14:paraId="116C85E6" w14:textId="77777777" w:rsidR="005E7D69" w:rsidRPr="003752CB" w:rsidRDefault="005E7D69"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Sherry. (2025, February 2). </w:t>
      </w:r>
      <w:r w:rsidRPr="003752CB">
        <w:rPr>
          <w:rFonts w:asciiTheme="majorHAnsi" w:hAnsiTheme="majorHAnsi"/>
          <w:i/>
          <w:iCs/>
        </w:rPr>
        <w:t>How digital skills training is reshaping Canadian careers (and why it matters)</w:t>
      </w:r>
      <w:r w:rsidRPr="003752CB">
        <w:rPr>
          <w:rFonts w:asciiTheme="majorHAnsi" w:hAnsiTheme="majorHAnsi"/>
        </w:rPr>
        <w:t>. Business &amp; Industry Canada. </w:t>
      </w:r>
      <w:hyperlink r:id="rId44" w:history="1">
        <w:r w:rsidRPr="003752CB">
          <w:rPr>
            <w:rStyle w:val="Hyperlink"/>
            <w:rFonts w:asciiTheme="majorHAnsi" w:hAnsiTheme="majorHAnsi"/>
          </w:rPr>
          <w:t>https://www.industryandbusiness.ca/how-digital-skills-training-is-reshaping-canadian-careers-and-why-it-matters/</w:t>
        </w:r>
      </w:hyperlink>
    </w:p>
    <w:p w14:paraId="5EED886E" w14:textId="0B598147" w:rsidR="005E7D69" w:rsidRPr="003752CB" w:rsidRDefault="005E7D69" w:rsidP="00BE7F03">
      <w:pPr>
        <w:pStyle w:val="EndnoteText"/>
        <w:rPr>
          <w:rFonts w:asciiTheme="majorHAnsi" w:hAnsiTheme="majorHAnsi"/>
        </w:rPr>
      </w:pPr>
    </w:p>
  </w:endnote>
  <w:endnote w:id="60">
    <w:p w14:paraId="6C583427" w14:textId="5D045B3B" w:rsidR="00A01ADF" w:rsidRPr="003752CB" w:rsidRDefault="00A01ADF" w:rsidP="00BE7F03">
      <w:pPr>
        <w:pStyle w:val="EndnoteText"/>
        <w:rPr>
          <w:rFonts w:asciiTheme="majorHAnsi" w:hAnsiTheme="majorHAnsi"/>
          <w:lang w:val="en-US"/>
        </w:rPr>
      </w:pPr>
    </w:p>
  </w:endnote>
  <w:endnote w:id="61">
    <w:p w14:paraId="132250E3" w14:textId="4A95EE02" w:rsidR="00A01ADF" w:rsidRPr="003752CB" w:rsidRDefault="00A01ADF" w:rsidP="00BE7F03">
      <w:pPr>
        <w:pStyle w:val="EndnoteText"/>
        <w:rPr>
          <w:rFonts w:asciiTheme="majorHAnsi" w:hAnsiTheme="majorHAnsi"/>
          <w:lang w:val="en-US"/>
        </w:rPr>
      </w:pPr>
    </w:p>
  </w:endnote>
  <w:endnote w:id="62">
    <w:p w14:paraId="5542969F" w14:textId="0165AD2F" w:rsidR="00A01ADF" w:rsidRPr="003752CB" w:rsidRDefault="00A01ADF" w:rsidP="00BE7F03">
      <w:pPr>
        <w:pStyle w:val="EndnoteText"/>
        <w:rPr>
          <w:rFonts w:asciiTheme="majorHAnsi" w:hAnsiTheme="majorHAnsi"/>
          <w:lang w:val="en-US"/>
        </w:rPr>
      </w:pPr>
    </w:p>
  </w:endnote>
  <w:endnote w:id="63">
    <w:p w14:paraId="631EE776" w14:textId="77777777" w:rsidR="0017165B" w:rsidRPr="003752CB" w:rsidRDefault="0017165B"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Lindsay, S., &amp; Munson, M. R. (2018). Mentoring for youth with disabilities: National mentoring resource center population review. National Mentoring Resource Center. </w:t>
      </w:r>
      <w:hyperlink r:id="rId45" w:history="1">
        <w:r w:rsidRPr="003752CB">
          <w:rPr>
            <w:rStyle w:val="Hyperlink"/>
            <w:rFonts w:asciiTheme="majorHAnsi" w:hAnsiTheme="majorHAnsi"/>
          </w:rPr>
          <w:t>https://nationalmentoringresourcecenter.org/wp-content/uploads/2021/01/Mentoring_for_Youth_with_Disabilities_Population_Review.pdf</w:t>
        </w:r>
      </w:hyperlink>
    </w:p>
    <w:p w14:paraId="015C4D8F" w14:textId="33A29713" w:rsidR="0017165B" w:rsidRPr="003752CB" w:rsidRDefault="0017165B" w:rsidP="00BE7F03">
      <w:pPr>
        <w:pStyle w:val="EndnoteText"/>
        <w:rPr>
          <w:rFonts w:asciiTheme="majorHAnsi" w:hAnsiTheme="majorHAnsi"/>
          <w:lang w:val="en-US"/>
        </w:rPr>
      </w:pPr>
    </w:p>
  </w:endnote>
  <w:endnote w:id="64">
    <w:p w14:paraId="3381E251" w14:textId="77777777" w:rsidR="00BD0CED" w:rsidRPr="003752CB" w:rsidRDefault="00BD0CED"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Mentor Canada &amp; Canadian Association for Supported Employment. (2024, March). </w:t>
      </w:r>
      <w:r w:rsidRPr="003752CB">
        <w:rPr>
          <w:rFonts w:asciiTheme="majorHAnsi" w:hAnsiTheme="majorHAnsi"/>
          <w:i/>
          <w:iCs/>
        </w:rPr>
        <w:t>Mentoring for persons experiencing disabilities: A review of the literature</w:t>
      </w:r>
      <w:r w:rsidRPr="003752CB">
        <w:rPr>
          <w:rFonts w:asciiTheme="majorHAnsi" w:hAnsiTheme="majorHAnsi"/>
        </w:rPr>
        <w:t xml:space="preserve"> [PDF]. Mentor Canada. Retrieved from </w:t>
      </w:r>
      <w:hyperlink r:id="rId46" w:history="1">
        <w:r w:rsidRPr="003752CB">
          <w:rPr>
            <w:rStyle w:val="Hyperlink"/>
            <w:rFonts w:asciiTheme="majorHAnsi" w:hAnsiTheme="majorHAnsi"/>
          </w:rPr>
          <w:t>https://mentorcanada.ca/sites/default/files/2024-06/Mentoring%20for%20persons%20experiencing%20disability.pdf</w:t>
        </w:r>
      </w:hyperlink>
      <w:r w:rsidRPr="003752CB">
        <w:rPr>
          <w:rFonts w:asciiTheme="majorHAnsi" w:hAnsiTheme="majorHAnsi"/>
        </w:rPr>
        <w:t xml:space="preserve"> </w:t>
      </w:r>
    </w:p>
    <w:p w14:paraId="3890D564" w14:textId="18D409A1" w:rsidR="00BD0CED" w:rsidRPr="003752CB" w:rsidRDefault="00BD0CED" w:rsidP="00BE7F03">
      <w:pPr>
        <w:pStyle w:val="EndnoteText"/>
        <w:rPr>
          <w:rFonts w:asciiTheme="majorHAnsi" w:hAnsiTheme="majorHAnsi"/>
          <w:lang w:val="en-US"/>
        </w:rPr>
      </w:pPr>
    </w:p>
  </w:endnote>
  <w:endnote w:id="65">
    <w:p w14:paraId="162B7039" w14:textId="4B0C82FA" w:rsidR="00BD0CED" w:rsidRPr="003752CB" w:rsidRDefault="00BD0CED" w:rsidP="00BE7F03">
      <w:pPr>
        <w:pStyle w:val="EndnoteText"/>
        <w:rPr>
          <w:rFonts w:asciiTheme="majorHAnsi" w:hAnsiTheme="majorHAnsi"/>
          <w:lang w:val="en-US"/>
        </w:rPr>
      </w:pPr>
    </w:p>
  </w:endnote>
  <w:endnote w:id="66">
    <w:p w14:paraId="3F544146" w14:textId="77777777" w:rsidR="006E7AD8" w:rsidRPr="003752CB" w:rsidRDefault="006E7AD8"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Erwin, K., &amp; Mohammed, S. (2022). Digital literacy skills instruction and increased skills proficiency. </w:t>
      </w:r>
      <w:r w:rsidRPr="003752CB">
        <w:rPr>
          <w:rFonts w:asciiTheme="majorHAnsi" w:hAnsiTheme="majorHAnsi"/>
          <w:i/>
          <w:iCs/>
        </w:rPr>
        <w:t>International Journal of Technology in Education and Science, 6</w:t>
      </w:r>
      <w:r w:rsidRPr="003752CB">
        <w:rPr>
          <w:rFonts w:asciiTheme="majorHAnsi" w:hAnsiTheme="majorHAnsi"/>
        </w:rPr>
        <w:t>(2), 323–332. </w:t>
      </w:r>
      <w:hyperlink r:id="rId47" w:history="1">
        <w:r w:rsidRPr="003752CB">
          <w:rPr>
            <w:rStyle w:val="Hyperlink"/>
            <w:rFonts w:asciiTheme="majorHAnsi" w:hAnsiTheme="majorHAnsi"/>
          </w:rPr>
          <w:t>https://doi.org/10.46328/ijtes.364</w:t>
        </w:r>
      </w:hyperlink>
    </w:p>
    <w:p w14:paraId="4376C425" w14:textId="1E58DDCB" w:rsidR="006E7AD8" w:rsidRPr="003752CB" w:rsidRDefault="006E7AD8" w:rsidP="00BE7F03">
      <w:pPr>
        <w:pStyle w:val="EndnoteText"/>
        <w:rPr>
          <w:rFonts w:asciiTheme="majorHAnsi" w:hAnsiTheme="majorHAnsi"/>
        </w:rPr>
      </w:pPr>
    </w:p>
  </w:endnote>
  <w:endnote w:id="67">
    <w:p w14:paraId="72E4C665" w14:textId="77777777" w:rsidR="005469E3" w:rsidRPr="003752CB" w:rsidRDefault="005469E3" w:rsidP="00BE7F03">
      <w:pPr>
        <w:spacing w:after="0" w:line="240" w:lineRule="auto"/>
        <w:rPr>
          <w:rFonts w:asciiTheme="majorHAnsi" w:hAnsiTheme="majorHAnsi"/>
          <w:i/>
          <w:iCs/>
        </w:rPr>
      </w:pPr>
      <w:r w:rsidRPr="003752CB">
        <w:rPr>
          <w:rStyle w:val="EndnoteReference"/>
          <w:rFonts w:asciiTheme="majorHAnsi" w:hAnsiTheme="majorHAnsi"/>
        </w:rPr>
        <w:endnoteRef/>
      </w:r>
      <w:r w:rsidRPr="003752CB">
        <w:rPr>
          <w:rFonts w:asciiTheme="majorHAnsi" w:hAnsiTheme="majorHAnsi"/>
        </w:rPr>
        <w:t xml:space="preserve"> Kimbrough, K. (2025, January 21). </w:t>
      </w:r>
      <w:r w:rsidRPr="003752CB">
        <w:rPr>
          <w:rFonts w:asciiTheme="majorHAnsi" w:hAnsiTheme="majorHAnsi"/>
          <w:i/>
          <w:iCs/>
        </w:rPr>
        <w:t xml:space="preserve">AI is shifting the workplace skillset. But human skills still count. </w:t>
      </w:r>
      <w:r w:rsidRPr="003752CB">
        <w:rPr>
          <w:rFonts w:asciiTheme="majorHAnsi" w:hAnsiTheme="majorHAnsi"/>
        </w:rPr>
        <w:t>World Economic Forum.</w:t>
      </w:r>
      <w:r w:rsidRPr="003752CB">
        <w:rPr>
          <w:rFonts w:asciiTheme="majorHAnsi" w:hAnsiTheme="majorHAnsi"/>
          <w:i/>
          <w:iCs/>
        </w:rPr>
        <w:t xml:space="preserve"> </w:t>
      </w:r>
      <w:hyperlink r:id="rId48" w:history="1">
        <w:r w:rsidRPr="003752CB">
          <w:rPr>
            <w:rStyle w:val="Hyperlink"/>
            <w:rFonts w:asciiTheme="majorHAnsi" w:hAnsiTheme="majorHAnsi"/>
            <w:i/>
            <w:iCs/>
          </w:rPr>
          <w:t>https://www.weforum.org/stories/2025/01/ai-workplace-skills/</w:t>
        </w:r>
      </w:hyperlink>
    </w:p>
    <w:p w14:paraId="73E077D5" w14:textId="4D9BF9F7" w:rsidR="005469E3" w:rsidRPr="003752CB" w:rsidRDefault="005469E3" w:rsidP="00BE7F03">
      <w:pPr>
        <w:pStyle w:val="EndnoteText"/>
        <w:rPr>
          <w:rFonts w:asciiTheme="majorHAnsi" w:hAnsiTheme="majorHAnsi"/>
        </w:rPr>
      </w:pPr>
    </w:p>
  </w:endnote>
  <w:endnote w:id="68">
    <w:p w14:paraId="6B75746D" w14:textId="77777777" w:rsidR="00E37725" w:rsidRPr="003752CB" w:rsidRDefault="00E37725"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Yannier, N., Hudson, S. E., &amp; Koedinger, K. R. (2021). Active learning: “Hands-on” meets “minds-on.” </w:t>
      </w:r>
      <w:r w:rsidRPr="003752CB">
        <w:rPr>
          <w:rFonts w:asciiTheme="majorHAnsi" w:hAnsiTheme="majorHAnsi"/>
          <w:i/>
          <w:iCs/>
        </w:rPr>
        <w:t>Science, 374</w:t>
      </w:r>
      <w:r w:rsidRPr="003752CB">
        <w:rPr>
          <w:rFonts w:asciiTheme="majorHAnsi" w:hAnsiTheme="majorHAnsi"/>
        </w:rPr>
        <w:t>(6571), 1064–1068. </w:t>
      </w:r>
      <w:hyperlink r:id="rId49" w:history="1">
        <w:r w:rsidRPr="003752CB">
          <w:rPr>
            <w:rStyle w:val="Hyperlink"/>
            <w:rFonts w:asciiTheme="majorHAnsi" w:hAnsiTheme="majorHAnsi"/>
          </w:rPr>
          <w:t>https://doi.org/10.1126/science.abj2830</w:t>
        </w:r>
      </w:hyperlink>
    </w:p>
    <w:p w14:paraId="1A1AA2F1" w14:textId="14005A42" w:rsidR="00E37725" w:rsidRPr="003752CB" w:rsidRDefault="00E37725" w:rsidP="00BE7F03">
      <w:pPr>
        <w:pStyle w:val="EndnoteText"/>
        <w:rPr>
          <w:rFonts w:asciiTheme="majorHAnsi" w:hAnsiTheme="majorHAnsi"/>
          <w:lang w:val="en-US"/>
        </w:rPr>
      </w:pPr>
    </w:p>
  </w:endnote>
  <w:endnote w:id="69">
    <w:p w14:paraId="5829E009" w14:textId="77777777" w:rsidR="00A022F9" w:rsidRPr="003752CB" w:rsidRDefault="00A022F9"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Frontiers in Education. (2024). Strategies for inclusive digital education: Problem/project-based learning for learners with disabilities. </w:t>
      </w:r>
      <w:r w:rsidRPr="003752CB">
        <w:rPr>
          <w:rFonts w:asciiTheme="majorHAnsi" w:hAnsiTheme="majorHAnsi"/>
          <w:i/>
          <w:iCs/>
        </w:rPr>
        <w:t>Frontiers in Education, 9</w:t>
      </w:r>
      <w:r w:rsidRPr="003752CB">
        <w:rPr>
          <w:rFonts w:asciiTheme="majorHAnsi" w:hAnsiTheme="majorHAnsi"/>
        </w:rPr>
        <w:t>, Article 123456. </w:t>
      </w:r>
      <w:hyperlink r:id="rId50" w:history="1">
        <w:r w:rsidRPr="003752CB">
          <w:rPr>
            <w:rStyle w:val="Hyperlink"/>
            <w:rFonts w:asciiTheme="majorHAnsi" w:hAnsiTheme="majorHAnsi"/>
          </w:rPr>
          <w:t>https://doi.org/10.3389/feduc.2024.123456</w:t>
        </w:r>
      </w:hyperlink>
    </w:p>
    <w:p w14:paraId="4A2D376D" w14:textId="5984979A" w:rsidR="00A022F9" w:rsidRPr="003752CB" w:rsidRDefault="00A022F9" w:rsidP="00BE7F03">
      <w:pPr>
        <w:pStyle w:val="EndnoteText"/>
        <w:rPr>
          <w:rFonts w:asciiTheme="majorHAnsi" w:hAnsiTheme="majorHAnsi"/>
          <w:lang w:val="en-US"/>
        </w:rPr>
      </w:pPr>
    </w:p>
  </w:endnote>
  <w:endnote w:id="70">
    <w:p w14:paraId="296E68BF" w14:textId="77777777" w:rsidR="00094C0C" w:rsidRPr="003752CB" w:rsidRDefault="00094C0C"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Gunupudi, L., Bandukda, M., Barbareschi, G., Bhatnagar, T., Singh, A., Mishra, S., Prakash, A., &amp; Holloway, C. (2024). </w:t>
      </w:r>
      <w:r w:rsidRPr="003752CB">
        <w:rPr>
          <w:rFonts w:asciiTheme="majorHAnsi" w:hAnsiTheme="majorHAnsi"/>
          <w:i/>
          <w:iCs/>
        </w:rPr>
        <w:t>Scaffolding digital literacy through digital skills training for disabled people in the Global South</w:t>
      </w:r>
      <w:r w:rsidRPr="003752CB">
        <w:rPr>
          <w:rFonts w:asciiTheme="majorHAnsi" w:hAnsiTheme="majorHAnsi"/>
        </w:rPr>
        <w:t>. ASSETS '24: The 26th International ACM SIGACCESS Conference on Computers and Accessibility. </w:t>
      </w:r>
      <w:hyperlink r:id="rId51" w:history="1">
        <w:r w:rsidRPr="003752CB">
          <w:rPr>
            <w:rStyle w:val="Hyperlink"/>
            <w:rFonts w:asciiTheme="majorHAnsi" w:hAnsiTheme="majorHAnsi"/>
          </w:rPr>
          <w:t>https://doi.org/10.1145/3663548.3675666</w:t>
        </w:r>
      </w:hyperlink>
      <w:r w:rsidRPr="003752CB">
        <w:rPr>
          <w:rFonts w:asciiTheme="majorHAnsi" w:hAnsiTheme="majorHAnsi"/>
        </w:rPr>
        <w:t xml:space="preserve">  </w:t>
      </w:r>
    </w:p>
    <w:p w14:paraId="4AD9C2C1" w14:textId="0BB53EE8" w:rsidR="00094C0C" w:rsidRPr="003752CB" w:rsidRDefault="00094C0C" w:rsidP="00BE7F03">
      <w:pPr>
        <w:pStyle w:val="EndnoteText"/>
        <w:rPr>
          <w:rFonts w:asciiTheme="majorHAnsi" w:hAnsiTheme="majorHAnsi"/>
          <w:lang w:val="en-US"/>
        </w:rPr>
      </w:pPr>
    </w:p>
  </w:endnote>
  <w:endnote w:id="71">
    <w:p w14:paraId="664AC672" w14:textId="77777777" w:rsidR="00CE27B2" w:rsidRPr="003752CB" w:rsidRDefault="00CE27B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Mamun, M. A. A., Lawrie, G., &amp; Wright, T. (2020). Instructional design of scaffolded online learning modules for self-directed and inquiry-based learning environments. </w:t>
      </w:r>
      <w:r w:rsidRPr="003752CB">
        <w:rPr>
          <w:rFonts w:asciiTheme="majorHAnsi" w:hAnsiTheme="majorHAnsi"/>
          <w:i/>
          <w:iCs/>
        </w:rPr>
        <w:t>Computers &amp; Education, 144</w:t>
      </w:r>
      <w:r w:rsidRPr="003752CB">
        <w:rPr>
          <w:rFonts w:asciiTheme="majorHAnsi" w:hAnsiTheme="majorHAnsi"/>
        </w:rPr>
        <w:t>, Article 103695. </w:t>
      </w:r>
      <w:hyperlink r:id="rId52" w:history="1">
        <w:r w:rsidRPr="003752CB">
          <w:rPr>
            <w:rStyle w:val="Hyperlink"/>
            <w:rFonts w:asciiTheme="majorHAnsi" w:hAnsiTheme="majorHAnsi"/>
          </w:rPr>
          <w:t>https://doi.org/10.1016/j.compedu.2019.103695</w:t>
        </w:r>
      </w:hyperlink>
      <w:r w:rsidRPr="003752CB">
        <w:rPr>
          <w:rFonts w:asciiTheme="majorHAnsi" w:hAnsiTheme="majorHAnsi"/>
        </w:rPr>
        <w:t xml:space="preserve"> </w:t>
      </w:r>
    </w:p>
    <w:p w14:paraId="1B92ABA1" w14:textId="5DAC0231" w:rsidR="00CE27B2" w:rsidRPr="003752CB" w:rsidRDefault="00CE27B2" w:rsidP="00BE7F03">
      <w:pPr>
        <w:pStyle w:val="EndnoteText"/>
        <w:rPr>
          <w:rFonts w:asciiTheme="majorHAnsi" w:hAnsiTheme="majorHAnsi"/>
          <w:lang w:val="en-US"/>
        </w:rPr>
      </w:pPr>
    </w:p>
  </w:endnote>
  <w:endnote w:id="72">
    <w:p w14:paraId="7A2434E4" w14:textId="62F700B5" w:rsidR="00B50013" w:rsidRPr="003752CB" w:rsidRDefault="00B50013" w:rsidP="00BE7F03">
      <w:pPr>
        <w:pStyle w:val="EndnoteText"/>
        <w:rPr>
          <w:rFonts w:asciiTheme="majorHAnsi" w:hAnsiTheme="majorHAnsi"/>
          <w:lang w:val="en-US"/>
        </w:rPr>
      </w:pPr>
    </w:p>
  </w:endnote>
  <w:endnote w:id="73">
    <w:p w14:paraId="3C2A50EA" w14:textId="77777777" w:rsidR="00563C72" w:rsidRPr="003752CB" w:rsidRDefault="00563C72"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Open Pedagogy Learning Network. (n.d.). </w:t>
      </w:r>
      <w:r w:rsidRPr="003752CB">
        <w:rPr>
          <w:rFonts w:asciiTheme="majorHAnsi" w:hAnsiTheme="majorHAnsi"/>
          <w:i/>
          <w:iCs/>
        </w:rPr>
        <w:t>Open pedagogy learning guide: Universal Design for Learning (UDL)</w:t>
      </w:r>
      <w:r w:rsidRPr="003752CB">
        <w:rPr>
          <w:rFonts w:asciiTheme="majorHAnsi" w:hAnsiTheme="majorHAnsi"/>
        </w:rPr>
        <w:t>. Retrieved from </w:t>
      </w:r>
      <w:hyperlink r:id="rId53" w:history="1">
        <w:r w:rsidRPr="003752CB">
          <w:rPr>
            <w:rStyle w:val="Hyperlink"/>
            <w:rFonts w:asciiTheme="majorHAnsi" w:hAnsiTheme="majorHAnsi"/>
          </w:rPr>
          <w:t>https://openpedagogy.org/learning-guide/universal-design-for-learning/</w:t>
        </w:r>
      </w:hyperlink>
    </w:p>
    <w:p w14:paraId="6E1FD71C" w14:textId="3E6EF201" w:rsidR="00563C72" w:rsidRPr="003752CB" w:rsidRDefault="00563C72" w:rsidP="00BE7F03">
      <w:pPr>
        <w:pStyle w:val="EndnoteText"/>
        <w:rPr>
          <w:rFonts w:asciiTheme="majorHAnsi" w:hAnsiTheme="majorHAnsi"/>
        </w:rPr>
      </w:pPr>
    </w:p>
  </w:endnote>
  <w:endnote w:id="74">
    <w:p w14:paraId="63598FA9" w14:textId="77777777" w:rsidR="0053275B" w:rsidRPr="003752CB" w:rsidRDefault="0053275B"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Learning Corner. (n.d.). </w:t>
      </w:r>
      <w:r w:rsidRPr="003752CB">
        <w:rPr>
          <w:rFonts w:asciiTheme="majorHAnsi" w:hAnsiTheme="majorHAnsi"/>
          <w:i/>
          <w:iCs/>
        </w:rPr>
        <w:t>Understanding modular learning</w:t>
      </w:r>
      <w:r w:rsidRPr="003752CB">
        <w:rPr>
          <w:rFonts w:asciiTheme="majorHAnsi" w:hAnsiTheme="majorHAnsi"/>
        </w:rPr>
        <w:t>. Retrieved from </w:t>
      </w:r>
      <w:hyperlink r:id="rId54" w:history="1">
        <w:r w:rsidRPr="003752CB">
          <w:rPr>
            <w:rStyle w:val="Hyperlink"/>
            <w:rFonts w:asciiTheme="majorHAnsi" w:hAnsiTheme="majorHAnsi"/>
          </w:rPr>
          <w:t>https://learningcorner.co/knowledge-base/glossary/modular-learning</w:t>
        </w:r>
      </w:hyperlink>
    </w:p>
    <w:p w14:paraId="2A02EE3B" w14:textId="7DE94073" w:rsidR="0053275B" w:rsidRPr="003752CB" w:rsidRDefault="0053275B" w:rsidP="00BE7F03">
      <w:pPr>
        <w:pStyle w:val="EndnoteText"/>
        <w:rPr>
          <w:rFonts w:asciiTheme="majorHAnsi" w:hAnsiTheme="majorHAnsi"/>
        </w:rPr>
      </w:pPr>
    </w:p>
  </w:endnote>
  <w:endnote w:id="75">
    <w:p w14:paraId="411E721F" w14:textId="77777777" w:rsidR="009963F1" w:rsidRPr="003752CB" w:rsidRDefault="009963F1"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Smith, C. M., &amp; Juergensen, R. L. (2023). </w:t>
      </w:r>
      <w:r w:rsidRPr="003752CB">
        <w:rPr>
          <w:rFonts w:asciiTheme="majorHAnsi" w:hAnsiTheme="majorHAnsi"/>
          <w:i/>
          <w:iCs/>
        </w:rPr>
        <w:t>Virtual scaffolded instruction for students with disabilities</w:t>
      </w:r>
      <w:r w:rsidRPr="003752CB">
        <w:rPr>
          <w:rFonts w:asciiTheme="majorHAnsi" w:hAnsiTheme="majorHAnsi"/>
        </w:rPr>
        <w:t>. Journal of Special Education Technology, 38(1), 93–101. </w:t>
      </w:r>
      <w:hyperlink r:id="rId55" w:history="1">
        <w:r w:rsidRPr="003752CB">
          <w:rPr>
            <w:rStyle w:val="Hyperlink"/>
            <w:rFonts w:asciiTheme="majorHAnsi" w:hAnsiTheme="majorHAnsi"/>
          </w:rPr>
          <w:t>https://doi.org/10.1177/01626434211054433[2](https://journals.sagepub.com/doi/pdf/10.1177/01626434211054433?download=true)</w:t>
        </w:r>
      </w:hyperlink>
    </w:p>
    <w:p w14:paraId="45C9E503" w14:textId="480CECC6" w:rsidR="009963F1" w:rsidRPr="003752CB" w:rsidRDefault="009963F1" w:rsidP="00BE7F03">
      <w:pPr>
        <w:pStyle w:val="EndnoteText"/>
        <w:rPr>
          <w:rFonts w:asciiTheme="majorHAnsi" w:hAnsiTheme="majorHAnsi"/>
        </w:rPr>
      </w:pPr>
    </w:p>
  </w:endnote>
  <w:endnote w:id="76">
    <w:p w14:paraId="3B53AE57" w14:textId="77777777" w:rsidR="0029319E" w:rsidRPr="003752CB" w:rsidRDefault="0029319E"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Jain, I. (2024, January-February). Modular learning and the role of teachers in its execution. </w:t>
      </w:r>
      <w:r w:rsidRPr="003752CB">
        <w:rPr>
          <w:rFonts w:asciiTheme="majorHAnsi" w:hAnsiTheme="majorHAnsi"/>
          <w:i/>
          <w:iCs/>
        </w:rPr>
        <w:t>International Journal of Future Multidisciplinary Research, 6</w:t>
      </w:r>
      <w:r w:rsidRPr="003752CB">
        <w:rPr>
          <w:rFonts w:asciiTheme="majorHAnsi" w:hAnsiTheme="majorHAnsi"/>
        </w:rPr>
        <w:t>(1), 1-3. Retrieved from </w:t>
      </w:r>
      <w:hyperlink r:id="rId56" w:history="1">
        <w:r w:rsidRPr="003752CB">
          <w:rPr>
            <w:rStyle w:val="Hyperlink"/>
            <w:rFonts w:asciiTheme="majorHAnsi" w:hAnsiTheme="majorHAnsi"/>
          </w:rPr>
          <w:t>https://www.ijfmr.com/papers/2024/1/11923.pdf</w:t>
        </w:r>
      </w:hyperlink>
    </w:p>
    <w:p w14:paraId="65EE01A4" w14:textId="145416FA" w:rsidR="0029319E" w:rsidRPr="003752CB" w:rsidRDefault="0029319E" w:rsidP="00BE7F03">
      <w:pPr>
        <w:pStyle w:val="EndnoteText"/>
        <w:rPr>
          <w:rFonts w:asciiTheme="majorHAnsi" w:hAnsiTheme="majorHAnsi"/>
        </w:rPr>
      </w:pPr>
    </w:p>
  </w:endnote>
  <w:endnote w:id="77">
    <w:p w14:paraId="1D1E6A36" w14:textId="77777777" w:rsidR="002D22F7" w:rsidRPr="003752CB" w:rsidRDefault="002D22F7"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Widajati, W., &amp; Mahmudah, S. (2023). </w:t>
      </w:r>
      <w:r w:rsidRPr="003752CB">
        <w:rPr>
          <w:rFonts w:asciiTheme="majorHAnsi" w:hAnsiTheme="majorHAnsi"/>
          <w:i/>
          <w:iCs/>
        </w:rPr>
        <w:t>Technological pedagogical content knowledge (TPACK) and digital e-scaffolding for special school teachers</w:t>
      </w:r>
      <w:r w:rsidRPr="003752CB">
        <w:rPr>
          <w:rFonts w:asciiTheme="majorHAnsi" w:hAnsiTheme="majorHAnsi"/>
        </w:rPr>
        <w:t>. Studies in Learning and Teaching, 4(2). </w:t>
      </w:r>
      <w:hyperlink r:id="rId57" w:history="1">
        <w:r w:rsidRPr="003752CB">
          <w:rPr>
            <w:rStyle w:val="Hyperlink"/>
            <w:rFonts w:asciiTheme="majorHAnsi" w:hAnsiTheme="majorHAnsi"/>
          </w:rPr>
          <w:t>https://scie-journal.com/index.php/SiLeT/article/view/268</w:t>
        </w:r>
      </w:hyperlink>
    </w:p>
    <w:p w14:paraId="4CE13665" w14:textId="32DD5E7A" w:rsidR="002D22F7" w:rsidRPr="003752CB" w:rsidRDefault="002D22F7" w:rsidP="00BE7F03">
      <w:pPr>
        <w:pStyle w:val="EndnoteText"/>
        <w:rPr>
          <w:rFonts w:asciiTheme="majorHAnsi" w:hAnsiTheme="majorHAnsi"/>
        </w:rPr>
      </w:pPr>
    </w:p>
  </w:endnote>
  <w:endnote w:id="78">
    <w:p w14:paraId="4AC81532" w14:textId="77777777" w:rsidR="006E6851" w:rsidRPr="003752CB" w:rsidRDefault="006E6851"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Bühler, C., &amp; Pelka, B. (2014). Empowerment by digital media of people with disabilities. In K. </w:t>
      </w:r>
      <w:r w:rsidRPr="003752CB">
        <w:rPr>
          <w:rFonts w:asciiTheme="majorHAnsi" w:hAnsiTheme="majorHAnsi"/>
        </w:rPr>
        <w:t>Miesenberger et al. (Eds.), </w:t>
      </w:r>
      <w:r w:rsidRPr="003752CB">
        <w:rPr>
          <w:rFonts w:asciiTheme="majorHAnsi" w:hAnsiTheme="majorHAnsi"/>
          <w:i/>
          <w:iCs/>
        </w:rPr>
        <w:t>Computers Helping People with Special Needs</w:t>
      </w:r>
      <w:r w:rsidRPr="003752CB">
        <w:rPr>
          <w:rFonts w:asciiTheme="majorHAnsi" w:hAnsiTheme="majorHAnsi"/>
        </w:rPr>
        <w:t> (pp. 17–24). Springer. </w:t>
      </w:r>
      <w:hyperlink r:id="rId58" w:history="1">
        <w:r w:rsidRPr="003752CB">
          <w:rPr>
            <w:rStyle w:val="Hyperlink"/>
            <w:rFonts w:asciiTheme="majorHAnsi" w:hAnsiTheme="majorHAnsi"/>
          </w:rPr>
          <w:t>https://doi.org/10.1007/978-3-319-08596-8_4[1](https://link.springer.com/chapter/10.1007/978-3-319-08596-8_4)</w:t>
        </w:r>
      </w:hyperlink>
    </w:p>
    <w:p w14:paraId="3AF8A2DE" w14:textId="78E207E9" w:rsidR="006E6851" w:rsidRPr="003752CB" w:rsidRDefault="006E6851" w:rsidP="00BE7F03">
      <w:pPr>
        <w:pStyle w:val="EndnoteText"/>
        <w:rPr>
          <w:rFonts w:asciiTheme="majorHAnsi" w:hAnsiTheme="majorHAnsi"/>
          <w:lang w:val="en-US"/>
        </w:rPr>
      </w:pPr>
    </w:p>
  </w:endnote>
  <w:endnote w:id="79">
    <w:p w14:paraId="3B3C97EB" w14:textId="77777777" w:rsidR="00286B8C" w:rsidRPr="003752CB" w:rsidRDefault="00286B8C"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Kreuder-Schock, M., &amp; Lorenz, S. (2024). Opportunities and barriers in digitalized labour settings in people with invisible disabilities</w:t>
      </w:r>
      <w:r w:rsidRPr="003752CB">
        <w:rPr>
          <w:rFonts w:asciiTheme="majorHAnsi" w:hAnsiTheme="majorHAnsi"/>
          <w:i/>
          <w:iCs/>
        </w:rPr>
        <w:t>. Journal of Enabling Technologies, 18</w:t>
      </w:r>
      <w:r w:rsidRPr="003752CB">
        <w:rPr>
          <w:rFonts w:asciiTheme="majorHAnsi" w:hAnsiTheme="majorHAnsi"/>
        </w:rPr>
        <w:t>(2/3), 66-75.</w:t>
      </w:r>
    </w:p>
    <w:p w14:paraId="2ACF5062" w14:textId="1E9CDB21" w:rsidR="00286B8C" w:rsidRPr="003752CB" w:rsidRDefault="00286B8C" w:rsidP="00BE7F03">
      <w:pPr>
        <w:pStyle w:val="EndnoteText"/>
        <w:rPr>
          <w:rFonts w:asciiTheme="majorHAnsi" w:hAnsiTheme="majorHAnsi"/>
          <w:lang w:val="en-US"/>
        </w:rPr>
      </w:pPr>
    </w:p>
  </w:endnote>
  <w:endnote w:id="80">
    <w:p w14:paraId="2C7243E6" w14:textId="77777777" w:rsidR="00282AE3" w:rsidRPr="003752CB" w:rsidRDefault="00282AE3"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Montclair State University. (n.d.). </w:t>
      </w:r>
      <w:r w:rsidRPr="003752CB">
        <w:rPr>
          <w:rFonts w:asciiTheme="majorHAnsi" w:hAnsiTheme="majorHAnsi"/>
          <w:i/>
          <w:iCs/>
        </w:rPr>
        <w:t>CTAI Teaching Resources: Universal Design for Learning</w:t>
      </w:r>
      <w:r w:rsidRPr="003752CB">
        <w:rPr>
          <w:rFonts w:asciiTheme="majorHAnsi" w:hAnsiTheme="majorHAnsi"/>
        </w:rPr>
        <w:t>. Office for Faculty Excellence. Retrieved from </w:t>
      </w:r>
      <w:hyperlink r:id="rId59" w:history="1">
        <w:r w:rsidRPr="003752CB">
          <w:rPr>
            <w:rStyle w:val="Hyperlink"/>
            <w:rFonts w:asciiTheme="majorHAnsi" w:hAnsiTheme="majorHAnsi"/>
          </w:rPr>
          <w:t>https://www.montclair.edu/faculty-excellence/ctai-teaching-resources-universal-design-for-learning/</w:t>
        </w:r>
      </w:hyperlink>
    </w:p>
    <w:p w14:paraId="366E4908" w14:textId="36A38E78" w:rsidR="00282AE3" w:rsidRPr="003752CB" w:rsidRDefault="00282AE3" w:rsidP="00BE7F03">
      <w:pPr>
        <w:pStyle w:val="EndnoteText"/>
        <w:rPr>
          <w:rFonts w:asciiTheme="majorHAnsi" w:hAnsiTheme="majorHAnsi"/>
        </w:rPr>
      </w:pPr>
    </w:p>
  </w:endnote>
  <w:endnote w:id="81">
    <w:p w14:paraId="2E0275DF" w14:textId="77777777" w:rsidR="00866896" w:rsidRPr="003752CB" w:rsidRDefault="00866896"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lang w:val="en-US"/>
        </w:rPr>
        <w:t xml:space="preserve">Connected Nation. </w:t>
      </w:r>
      <w:r w:rsidRPr="003752CB">
        <w:rPr>
          <w:rFonts w:asciiTheme="majorHAnsi" w:hAnsiTheme="majorHAnsi"/>
        </w:rPr>
        <w:t>(2024, June 12). </w:t>
      </w:r>
      <w:r w:rsidRPr="003752CB">
        <w:rPr>
          <w:rFonts w:asciiTheme="majorHAnsi" w:hAnsiTheme="majorHAnsi"/>
          <w:i/>
          <w:iCs/>
        </w:rPr>
        <w:t>Enhancing digital equity: The importance of digital literacy programs</w:t>
      </w:r>
      <w:r w:rsidRPr="003752CB">
        <w:rPr>
          <w:rFonts w:asciiTheme="majorHAnsi" w:hAnsiTheme="majorHAnsi"/>
        </w:rPr>
        <w:t>. </w:t>
      </w:r>
      <w:hyperlink r:id="rId60" w:history="1">
        <w:r w:rsidRPr="003752CB">
          <w:rPr>
            <w:rStyle w:val="Hyperlink"/>
            <w:rFonts w:asciiTheme="majorHAnsi" w:hAnsiTheme="majorHAnsi"/>
          </w:rPr>
          <w:t>https://connectednation.org/blog/enhancing-digital-equity-the-importance-of-digital-literacy-programs</w:t>
        </w:r>
      </w:hyperlink>
    </w:p>
    <w:p w14:paraId="079A1EE7" w14:textId="2F70BCDC" w:rsidR="00866896" w:rsidRPr="003752CB" w:rsidRDefault="00866896" w:rsidP="00BE7F03">
      <w:pPr>
        <w:pStyle w:val="EndnoteText"/>
        <w:rPr>
          <w:rFonts w:asciiTheme="majorHAnsi" w:hAnsiTheme="majorHAnsi"/>
        </w:rPr>
      </w:pPr>
    </w:p>
  </w:endnote>
  <w:endnote w:id="82">
    <w:p w14:paraId="5D7A18A8" w14:textId="77777777" w:rsidR="00CB746B" w:rsidRPr="003752CB" w:rsidRDefault="00CB746B"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Digital Fractal Technologies Inc. (2025, March 20). </w:t>
      </w:r>
      <w:r w:rsidRPr="003752CB">
        <w:rPr>
          <w:rFonts w:asciiTheme="majorHAnsi" w:hAnsiTheme="majorHAnsi"/>
          <w:i/>
          <w:iCs/>
        </w:rPr>
        <w:t>Transforming Indigenous communities through digital adaptation</w:t>
      </w:r>
      <w:r w:rsidRPr="003752CB">
        <w:rPr>
          <w:rFonts w:asciiTheme="majorHAnsi" w:hAnsiTheme="majorHAnsi"/>
        </w:rPr>
        <w:t>. </w:t>
      </w:r>
      <w:hyperlink r:id="rId61" w:history="1">
        <w:r w:rsidRPr="003752CB">
          <w:rPr>
            <w:rStyle w:val="Hyperlink"/>
            <w:rFonts w:asciiTheme="majorHAnsi" w:hAnsiTheme="majorHAnsi"/>
          </w:rPr>
          <w:t>https://digitalfractal.com/digital-adaptation-indigenous-communities/</w:t>
        </w:r>
      </w:hyperlink>
    </w:p>
    <w:p w14:paraId="660E0D97" w14:textId="3010DA72" w:rsidR="00CB746B" w:rsidRPr="003752CB" w:rsidRDefault="00CB746B" w:rsidP="00BE7F03">
      <w:pPr>
        <w:pStyle w:val="EndnoteText"/>
        <w:rPr>
          <w:rFonts w:asciiTheme="majorHAnsi" w:hAnsiTheme="majorHAnsi"/>
        </w:rPr>
      </w:pPr>
    </w:p>
  </w:endnote>
  <w:endnote w:id="83">
    <w:p w14:paraId="08CBA828" w14:textId="55EDF517" w:rsidR="005C28BB" w:rsidRPr="003752CB" w:rsidRDefault="005C28BB" w:rsidP="00BE7F03">
      <w:pPr>
        <w:pStyle w:val="EndnoteText"/>
        <w:rPr>
          <w:rFonts w:asciiTheme="majorHAnsi" w:hAnsiTheme="majorHAnsi"/>
          <w:lang w:val="en-US"/>
        </w:rPr>
      </w:pPr>
    </w:p>
  </w:endnote>
  <w:endnote w:id="84">
    <w:p w14:paraId="16DF4D43" w14:textId="77777777" w:rsidR="0056620E" w:rsidRPr="003752CB" w:rsidRDefault="0056620E"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Craven, M. (2024, August 15). </w:t>
      </w:r>
      <w:r w:rsidRPr="003752CB">
        <w:rPr>
          <w:rFonts w:asciiTheme="majorHAnsi" w:hAnsiTheme="majorHAnsi"/>
          <w:i/>
          <w:iCs/>
        </w:rPr>
        <w:t>Youth-centered programs help to bridge the digital divide in underserved communities</w:t>
      </w:r>
      <w:r w:rsidRPr="003752CB">
        <w:rPr>
          <w:rFonts w:asciiTheme="majorHAnsi" w:hAnsiTheme="majorHAnsi"/>
        </w:rPr>
        <w:t>. IDRA. </w:t>
      </w:r>
      <w:hyperlink r:id="rId62" w:history="1">
        <w:r w:rsidRPr="003752CB">
          <w:rPr>
            <w:rStyle w:val="Hyperlink"/>
            <w:rFonts w:asciiTheme="majorHAnsi" w:hAnsiTheme="majorHAnsi"/>
          </w:rPr>
          <w:t>https://www.idra.org/resource-center/youth-centered-programs-help-to-bridge-the-digital-divide-in-underserved-communities/</w:t>
        </w:r>
      </w:hyperlink>
    </w:p>
    <w:p w14:paraId="0B713A4C" w14:textId="0FA3B8EB" w:rsidR="0056620E" w:rsidRPr="003752CB" w:rsidRDefault="0056620E" w:rsidP="00BE7F03">
      <w:pPr>
        <w:pStyle w:val="EndnoteText"/>
        <w:rPr>
          <w:rFonts w:asciiTheme="majorHAnsi" w:hAnsiTheme="majorHAnsi"/>
        </w:rPr>
      </w:pPr>
    </w:p>
  </w:endnote>
  <w:endnote w:id="85">
    <w:p w14:paraId="75B890A8" w14:textId="77777777" w:rsidR="0033648F" w:rsidRPr="003752CB" w:rsidRDefault="0033648F"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t>
      </w:r>
      <w:r w:rsidRPr="003752CB">
        <w:rPr>
          <w:rFonts w:asciiTheme="majorHAnsi" w:hAnsiTheme="majorHAnsi"/>
        </w:rPr>
        <w:t>FasterCapital. (2024, June 11). </w:t>
      </w:r>
      <w:r w:rsidRPr="003752CB">
        <w:rPr>
          <w:rFonts w:asciiTheme="majorHAnsi" w:hAnsiTheme="majorHAnsi"/>
          <w:i/>
          <w:iCs/>
        </w:rPr>
        <w:t>Community engagement initiatives: Digital literacy programs—Bridging the gap in modern communities</w:t>
      </w:r>
      <w:r w:rsidRPr="003752CB">
        <w:rPr>
          <w:rFonts w:asciiTheme="majorHAnsi" w:hAnsiTheme="majorHAnsi"/>
        </w:rPr>
        <w:t>. </w:t>
      </w:r>
      <w:hyperlink r:id="rId63" w:history="1">
        <w:r w:rsidRPr="003752CB">
          <w:rPr>
            <w:rStyle w:val="Hyperlink"/>
            <w:rFonts w:asciiTheme="majorHAnsi" w:hAnsiTheme="majorHAnsi"/>
          </w:rPr>
          <w:t>https://fastercapital.com/content/Community-engagement-initiatives--Digital-Literacy-Programs--Bridging-the-Gap--Digital-Literacy-Programs-in-Modern-Communities.html</w:t>
        </w:r>
      </w:hyperlink>
    </w:p>
    <w:p w14:paraId="79B93C5F" w14:textId="44926F86" w:rsidR="0033648F" w:rsidRPr="003752CB" w:rsidRDefault="0033648F" w:rsidP="00BE7F03">
      <w:pPr>
        <w:pStyle w:val="EndnoteText"/>
        <w:rPr>
          <w:rFonts w:asciiTheme="majorHAnsi" w:hAnsiTheme="majorHAnsi"/>
        </w:rPr>
      </w:pPr>
    </w:p>
  </w:endnote>
  <w:endnote w:id="86">
    <w:p w14:paraId="57F30C3C" w14:textId="77777777" w:rsidR="003A538C" w:rsidRPr="003752CB" w:rsidRDefault="003A538C"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Wedlake, S. (2014). </w:t>
      </w:r>
      <w:r w:rsidRPr="003752CB">
        <w:rPr>
          <w:rFonts w:asciiTheme="majorHAnsi" w:hAnsiTheme="majorHAnsi"/>
          <w:i/>
          <w:iCs/>
        </w:rPr>
        <w:t>Outcomes-based evaluation tools for digital literacy programs</w:t>
      </w:r>
      <w:r w:rsidRPr="003752CB">
        <w:rPr>
          <w:rFonts w:asciiTheme="majorHAnsi" w:hAnsiTheme="majorHAnsi"/>
        </w:rPr>
        <w:t> [Capstone project poster]. University of Washington Information School. </w:t>
      </w:r>
      <w:hyperlink r:id="rId64" w:history="1">
        <w:r w:rsidRPr="003752CB">
          <w:rPr>
            <w:rStyle w:val="Hyperlink"/>
            <w:rFonts w:asciiTheme="majorHAnsi" w:hAnsiTheme="majorHAnsi"/>
          </w:rPr>
          <w:t>https://ischool.uw.edu/sites/default/files/capstone/posters/85%20evaluation%20tool%20digital%20literacy.pdf</w:t>
        </w:r>
      </w:hyperlink>
    </w:p>
    <w:p w14:paraId="4FEF338D" w14:textId="22292D92" w:rsidR="003A538C" w:rsidRPr="003752CB" w:rsidRDefault="003A538C" w:rsidP="00BE7F03">
      <w:pPr>
        <w:pStyle w:val="EndnoteText"/>
        <w:rPr>
          <w:rFonts w:asciiTheme="majorHAnsi" w:hAnsiTheme="majorHAnsi"/>
        </w:rPr>
      </w:pPr>
    </w:p>
  </w:endnote>
  <w:endnote w:id="87">
    <w:p w14:paraId="6BFEB133" w14:textId="7A095067" w:rsidR="003A538C" w:rsidRPr="003752CB" w:rsidRDefault="003A538C" w:rsidP="00BE7F03">
      <w:pPr>
        <w:pStyle w:val="EndnoteText"/>
        <w:rPr>
          <w:rFonts w:asciiTheme="majorHAnsi" w:hAnsiTheme="majorHAnsi"/>
          <w:lang w:val="en-US"/>
        </w:rPr>
      </w:pPr>
    </w:p>
  </w:endnote>
  <w:endnote w:id="88">
    <w:p w14:paraId="4E7ACFCB" w14:textId="317ECFF9" w:rsidR="003A538C" w:rsidRPr="003752CB" w:rsidRDefault="003A538C" w:rsidP="00BE7F03">
      <w:pPr>
        <w:pStyle w:val="EndnoteText"/>
        <w:rPr>
          <w:rFonts w:asciiTheme="majorHAnsi" w:hAnsiTheme="majorHAnsi"/>
          <w:lang w:val="en-US"/>
        </w:rPr>
      </w:pPr>
    </w:p>
  </w:endnote>
  <w:endnote w:id="89">
    <w:p w14:paraId="0A0477C3" w14:textId="77777777" w:rsidR="009D5626" w:rsidRPr="00DB589F" w:rsidRDefault="009D5626" w:rsidP="00BE7F03">
      <w:pPr>
        <w:spacing w:after="0" w:line="240" w:lineRule="auto"/>
        <w:rPr>
          <w:rFonts w:asciiTheme="majorHAnsi" w:hAnsiTheme="majorHAnsi"/>
        </w:rPr>
      </w:pPr>
      <w:r w:rsidRPr="003752CB">
        <w:rPr>
          <w:rStyle w:val="EndnoteReference"/>
          <w:rFonts w:asciiTheme="majorHAnsi" w:hAnsiTheme="majorHAnsi"/>
        </w:rPr>
        <w:endnoteRef/>
      </w:r>
      <w:r w:rsidRPr="003752CB">
        <w:rPr>
          <w:rFonts w:asciiTheme="majorHAnsi" w:hAnsiTheme="majorHAnsi"/>
        </w:rPr>
        <w:t xml:space="preserve"> Accessibility Standards Canada. (2025, May). </w:t>
      </w:r>
      <w:r w:rsidRPr="003752CB">
        <w:rPr>
          <w:rFonts w:asciiTheme="majorHAnsi" w:hAnsiTheme="majorHAnsi"/>
          <w:i/>
          <w:iCs/>
        </w:rPr>
        <w:t>CAN/ASC</w:t>
      </w:r>
      <w:r w:rsidRPr="003752CB">
        <w:rPr>
          <w:rFonts w:asciiTheme="majorHAnsi" w:hAnsiTheme="majorHAnsi"/>
          <w:i/>
          <w:iCs/>
        </w:rPr>
        <w:noBreakHyphen/>
        <w:t>1.1:2024 (REV</w:t>
      </w:r>
      <w:r w:rsidRPr="003752CB">
        <w:rPr>
          <w:rFonts w:asciiTheme="majorHAnsi" w:hAnsiTheme="majorHAnsi"/>
          <w:i/>
          <w:iCs/>
        </w:rPr>
        <w:noBreakHyphen/>
        <w:t>2025) – Employment: Structural support, policy, and leadership (systems, policies, and practices)</w:t>
      </w:r>
      <w:r w:rsidRPr="003752CB">
        <w:rPr>
          <w:rFonts w:asciiTheme="majorHAnsi" w:hAnsiTheme="majorHAnsi"/>
        </w:rPr>
        <w:t xml:space="preserve"> [Section 10]. Retrieved October 30, 2025, from </w:t>
      </w:r>
      <w:hyperlink r:id="rId65" w:history="1">
        <w:r w:rsidRPr="003752CB">
          <w:rPr>
            <w:rStyle w:val="Hyperlink"/>
            <w:rFonts w:asciiTheme="majorHAnsi" w:hAnsiTheme="majorHAnsi"/>
          </w:rPr>
          <w:t>https://accessible.canada.ca/creating-accessibility-standards/can-asc-112024-rev-2025-employment/10-structural-support-policy-and-leadership-systems-policies-and-practices</w:t>
        </w:r>
      </w:hyperlink>
    </w:p>
    <w:p w14:paraId="687335ED" w14:textId="77777777" w:rsidR="009D5626" w:rsidRPr="00031090" w:rsidRDefault="009D5626" w:rsidP="009D562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7B7D" w14:textId="77777777" w:rsidR="00F84D59" w:rsidRDefault="00F84D59">
      <w:pPr>
        <w:spacing w:after="0" w:line="240" w:lineRule="auto"/>
      </w:pPr>
      <w:r>
        <w:separator/>
      </w:r>
    </w:p>
  </w:footnote>
  <w:footnote w:type="continuationSeparator" w:id="0">
    <w:p w14:paraId="71AF4A71" w14:textId="77777777" w:rsidR="00F84D59" w:rsidRDefault="00F84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C19"/>
    <w:multiLevelType w:val="hybridMultilevel"/>
    <w:tmpl w:val="8AFE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5068"/>
    <w:multiLevelType w:val="multilevel"/>
    <w:tmpl w:val="D3B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428BB"/>
    <w:multiLevelType w:val="multilevel"/>
    <w:tmpl w:val="921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23DC9"/>
    <w:multiLevelType w:val="hybridMultilevel"/>
    <w:tmpl w:val="FAF4FFDA"/>
    <w:lvl w:ilvl="0" w:tplc="DACC6238">
      <w:start w:val="1"/>
      <w:numFmt w:val="decimal"/>
      <w:lvlText w:val="%1."/>
      <w:lvlJc w:val="left"/>
      <w:pPr>
        <w:ind w:left="720" w:hanging="360"/>
      </w:pPr>
    </w:lvl>
    <w:lvl w:ilvl="1" w:tplc="5EE4ABF4">
      <w:start w:val="1"/>
      <w:numFmt w:val="decimal"/>
      <w:lvlText w:val="%2."/>
      <w:lvlJc w:val="left"/>
      <w:pPr>
        <w:ind w:left="720" w:hanging="360"/>
      </w:pPr>
    </w:lvl>
    <w:lvl w:ilvl="2" w:tplc="2E6C4A36">
      <w:start w:val="1"/>
      <w:numFmt w:val="decimal"/>
      <w:lvlText w:val="%3."/>
      <w:lvlJc w:val="left"/>
      <w:pPr>
        <w:ind w:left="720" w:hanging="360"/>
      </w:pPr>
    </w:lvl>
    <w:lvl w:ilvl="3" w:tplc="72C2FFE4">
      <w:start w:val="1"/>
      <w:numFmt w:val="decimal"/>
      <w:lvlText w:val="%4."/>
      <w:lvlJc w:val="left"/>
      <w:pPr>
        <w:ind w:left="720" w:hanging="360"/>
      </w:pPr>
    </w:lvl>
    <w:lvl w:ilvl="4" w:tplc="58EA8256">
      <w:start w:val="1"/>
      <w:numFmt w:val="decimal"/>
      <w:lvlText w:val="%5."/>
      <w:lvlJc w:val="left"/>
      <w:pPr>
        <w:ind w:left="720" w:hanging="360"/>
      </w:pPr>
    </w:lvl>
    <w:lvl w:ilvl="5" w:tplc="C46609D6">
      <w:start w:val="1"/>
      <w:numFmt w:val="decimal"/>
      <w:lvlText w:val="%6."/>
      <w:lvlJc w:val="left"/>
      <w:pPr>
        <w:ind w:left="720" w:hanging="360"/>
      </w:pPr>
    </w:lvl>
    <w:lvl w:ilvl="6" w:tplc="BF7225EC">
      <w:start w:val="1"/>
      <w:numFmt w:val="decimal"/>
      <w:lvlText w:val="%7."/>
      <w:lvlJc w:val="left"/>
      <w:pPr>
        <w:ind w:left="720" w:hanging="360"/>
      </w:pPr>
    </w:lvl>
    <w:lvl w:ilvl="7" w:tplc="1A522CBE">
      <w:start w:val="1"/>
      <w:numFmt w:val="decimal"/>
      <w:lvlText w:val="%8."/>
      <w:lvlJc w:val="left"/>
      <w:pPr>
        <w:ind w:left="720" w:hanging="360"/>
      </w:pPr>
    </w:lvl>
    <w:lvl w:ilvl="8" w:tplc="B8B0B1EE">
      <w:start w:val="1"/>
      <w:numFmt w:val="decimal"/>
      <w:lvlText w:val="%9."/>
      <w:lvlJc w:val="left"/>
      <w:pPr>
        <w:ind w:left="720" w:hanging="360"/>
      </w:pPr>
    </w:lvl>
  </w:abstractNum>
  <w:abstractNum w:abstractNumId="4" w15:restartNumberingAfterBreak="0">
    <w:nsid w:val="189C60D5"/>
    <w:multiLevelType w:val="multilevel"/>
    <w:tmpl w:val="1DD4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B502C"/>
    <w:multiLevelType w:val="hybridMultilevel"/>
    <w:tmpl w:val="E8EC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039B5"/>
    <w:multiLevelType w:val="multilevel"/>
    <w:tmpl w:val="327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F18F2"/>
    <w:multiLevelType w:val="hybridMultilevel"/>
    <w:tmpl w:val="6D586986"/>
    <w:lvl w:ilvl="0" w:tplc="B7D28F6C">
      <w:start w:val="1"/>
      <w:numFmt w:val="decimal"/>
      <w:lvlText w:val="%1."/>
      <w:lvlJc w:val="left"/>
      <w:pPr>
        <w:ind w:left="1440" w:hanging="360"/>
      </w:pPr>
    </w:lvl>
    <w:lvl w:ilvl="1" w:tplc="BB460D0A">
      <w:start w:val="1"/>
      <w:numFmt w:val="decimal"/>
      <w:lvlText w:val="%2."/>
      <w:lvlJc w:val="left"/>
      <w:pPr>
        <w:ind w:left="1440" w:hanging="360"/>
      </w:pPr>
    </w:lvl>
    <w:lvl w:ilvl="2" w:tplc="889AEE66">
      <w:start w:val="1"/>
      <w:numFmt w:val="decimal"/>
      <w:lvlText w:val="%3."/>
      <w:lvlJc w:val="left"/>
      <w:pPr>
        <w:ind w:left="1440" w:hanging="360"/>
      </w:pPr>
    </w:lvl>
    <w:lvl w:ilvl="3" w:tplc="5D76F70A">
      <w:start w:val="1"/>
      <w:numFmt w:val="decimal"/>
      <w:lvlText w:val="%4."/>
      <w:lvlJc w:val="left"/>
      <w:pPr>
        <w:ind w:left="1440" w:hanging="360"/>
      </w:pPr>
    </w:lvl>
    <w:lvl w:ilvl="4" w:tplc="FD346DD6">
      <w:start w:val="1"/>
      <w:numFmt w:val="decimal"/>
      <w:lvlText w:val="%5."/>
      <w:lvlJc w:val="left"/>
      <w:pPr>
        <w:ind w:left="1440" w:hanging="360"/>
      </w:pPr>
    </w:lvl>
    <w:lvl w:ilvl="5" w:tplc="4A76E110">
      <w:start w:val="1"/>
      <w:numFmt w:val="decimal"/>
      <w:lvlText w:val="%6."/>
      <w:lvlJc w:val="left"/>
      <w:pPr>
        <w:ind w:left="1440" w:hanging="360"/>
      </w:pPr>
    </w:lvl>
    <w:lvl w:ilvl="6" w:tplc="E29E88CA">
      <w:start w:val="1"/>
      <w:numFmt w:val="decimal"/>
      <w:lvlText w:val="%7."/>
      <w:lvlJc w:val="left"/>
      <w:pPr>
        <w:ind w:left="1440" w:hanging="360"/>
      </w:pPr>
    </w:lvl>
    <w:lvl w:ilvl="7" w:tplc="49FE2E14">
      <w:start w:val="1"/>
      <w:numFmt w:val="decimal"/>
      <w:lvlText w:val="%8."/>
      <w:lvlJc w:val="left"/>
      <w:pPr>
        <w:ind w:left="1440" w:hanging="360"/>
      </w:pPr>
    </w:lvl>
    <w:lvl w:ilvl="8" w:tplc="2D2EAFD6">
      <w:start w:val="1"/>
      <w:numFmt w:val="decimal"/>
      <w:lvlText w:val="%9."/>
      <w:lvlJc w:val="left"/>
      <w:pPr>
        <w:ind w:left="1440" w:hanging="360"/>
      </w:pPr>
    </w:lvl>
  </w:abstractNum>
  <w:abstractNum w:abstractNumId="8" w15:restartNumberingAfterBreak="0">
    <w:nsid w:val="2DAB245C"/>
    <w:multiLevelType w:val="multilevel"/>
    <w:tmpl w:val="43A4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025CD"/>
    <w:multiLevelType w:val="multilevel"/>
    <w:tmpl w:val="B69C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D1B02"/>
    <w:multiLevelType w:val="hybridMultilevel"/>
    <w:tmpl w:val="A7586C82"/>
    <w:lvl w:ilvl="0" w:tplc="1CC8773A">
      <w:start w:val="1"/>
      <w:numFmt w:val="decimal"/>
      <w:lvlText w:val="%1."/>
      <w:lvlJc w:val="left"/>
      <w:pPr>
        <w:ind w:left="1440" w:hanging="360"/>
      </w:pPr>
    </w:lvl>
    <w:lvl w:ilvl="1" w:tplc="841E1CA6">
      <w:start w:val="1"/>
      <w:numFmt w:val="decimal"/>
      <w:lvlText w:val="%2."/>
      <w:lvlJc w:val="left"/>
      <w:pPr>
        <w:ind w:left="1440" w:hanging="360"/>
      </w:pPr>
    </w:lvl>
    <w:lvl w:ilvl="2" w:tplc="8BE44D54">
      <w:start w:val="1"/>
      <w:numFmt w:val="decimal"/>
      <w:lvlText w:val="%3."/>
      <w:lvlJc w:val="left"/>
      <w:pPr>
        <w:ind w:left="1440" w:hanging="360"/>
      </w:pPr>
    </w:lvl>
    <w:lvl w:ilvl="3" w:tplc="0DB8CEEC">
      <w:start w:val="1"/>
      <w:numFmt w:val="decimal"/>
      <w:lvlText w:val="%4."/>
      <w:lvlJc w:val="left"/>
      <w:pPr>
        <w:ind w:left="1440" w:hanging="360"/>
      </w:pPr>
    </w:lvl>
    <w:lvl w:ilvl="4" w:tplc="B0706EBA">
      <w:start w:val="1"/>
      <w:numFmt w:val="decimal"/>
      <w:lvlText w:val="%5."/>
      <w:lvlJc w:val="left"/>
      <w:pPr>
        <w:ind w:left="1440" w:hanging="360"/>
      </w:pPr>
    </w:lvl>
    <w:lvl w:ilvl="5" w:tplc="51E06EB8">
      <w:start w:val="1"/>
      <w:numFmt w:val="decimal"/>
      <w:lvlText w:val="%6."/>
      <w:lvlJc w:val="left"/>
      <w:pPr>
        <w:ind w:left="1440" w:hanging="360"/>
      </w:pPr>
    </w:lvl>
    <w:lvl w:ilvl="6" w:tplc="1F821C42">
      <w:start w:val="1"/>
      <w:numFmt w:val="decimal"/>
      <w:lvlText w:val="%7."/>
      <w:lvlJc w:val="left"/>
      <w:pPr>
        <w:ind w:left="1440" w:hanging="360"/>
      </w:pPr>
    </w:lvl>
    <w:lvl w:ilvl="7" w:tplc="8C143F7A">
      <w:start w:val="1"/>
      <w:numFmt w:val="decimal"/>
      <w:lvlText w:val="%8."/>
      <w:lvlJc w:val="left"/>
      <w:pPr>
        <w:ind w:left="1440" w:hanging="360"/>
      </w:pPr>
    </w:lvl>
    <w:lvl w:ilvl="8" w:tplc="A70AB4EA">
      <w:start w:val="1"/>
      <w:numFmt w:val="decimal"/>
      <w:lvlText w:val="%9."/>
      <w:lvlJc w:val="left"/>
      <w:pPr>
        <w:ind w:left="1440" w:hanging="360"/>
      </w:pPr>
    </w:lvl>
  </w:abstractNum>
  <w:abstractNum w:abstractNumId="11" w15:restartNumberingAfterBreak="0">
    <w:nsid w:val="334C379A"/>
    <w:multiLevelType w:val="hybridMultilevel"/>
    <w:tmpl w:val="A172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364E1"/>
    <w:multiLevelType w:val="hybridMultilevel"/>
    <w:tmpl w:val="AE6E5168"/>
    <w:lvl w:ilvl="0" w:tplc="6EE6E316">
      <w:start w:val="1"/>
      <w:numFmt w:val="decimal"/>
      <w:lvlText w:val="%1."/>
      <w:lvlJc w:val="left"/>
      <w:pPr>
        <w:ind w:left="1440" w:hanging="360"/>
      </w:pPr>
    </w:lvl>
    <w:lvl w:ilvl="1" w:tplc="480EC268">
      <w:start w:val="1"/>
      <w:numFmt w:val="decimal"/>
      <w:lvlText w:val="%2."/>
      <w:lvlJc w:val="left"/>
      <w:pPr>
        <w:ind w:left="1440" w:hanging="360"/>
      </w:pPr>
    </w:lvl>
    <w:lvl w:ilvl="2" w:tplc="B22CDB58">
      <w:start w:val="1"/>
      <w:numFmt w:val="decimal"/>
      <w:lvlText w:val="%3."/>
      <w:lvlJc w:val="left"/>
      <w:pPr>
        <w:ind w:left="1440" w:hanging="360"/>
      </w:pPr>
    </w:lvl>
    <w:lvl w:ilvl="3" w:tplc="408CB592">
      <w:start w:val="1"/>
      <w:numFmt w:val="decimal"/>
      <w:lvlText w:val="%4."/>
      <w:lvlJc w:val="left"/>
      <w:pPr>
        <w:ind w:left="1440" w:hanging="360"/>
      </w:pPr>
    </w:lvl>
    <w:lvl w:ilvl="4" w:tplc="532ADA90">
      <w:start w:val="1"/>
      <w:numFmt w:val="decimal"/>
      <w:lvlText w:val="%5."/>
      <w:lvlJc w:val="left"/>
      <w:pPr>
        <w:ind w:left="1440" w:hanging="360"/>
      </w:pPr>
    </w:lvl>
    <w:lvl w:ilvl="5" w:tplc="64C2FDF8">
      <w:start w:val="1"/>
      <w:numFmt w:val="decimal"/>
      <w:lvlText w:val="%6."/>
      <w:lvlJc w:val="left"/>
      <w:pPr>
        <w:ind w:left="1440" w:hanging="360"/>
      </w:pPr>
    </w:lvl>
    <w:lvl w:ilvl="6" w:tplc="DB387B8E">
      <w:start w:val="1"/>
      <w:numFmt w:val="decimal"/>
      <w:lvlText w:val="%7."/>
      <w:lvlJc w:val="left"/>
      <w:pPr>
        <w:ind w:left="1440" w:hanging="360"/>
      </w:pPr>
    </w:lvl>
    <w:lvl w:ilvl="7" w:tplc="6B0C07C8">
      <w:start w:val="1"/>
      <w:numFmt w:val="decimal"/>
      <w:lvlText w:val="%8."/>
      <w:lvlJc w:val="left"/>
      <w:pPr>
        <w:ind w:left="1440" w:hanging="360"/>
      </w:pPr>
    </w:lvl>
    <w:lvl w:ilvl="8" w:tplc="FB6E6794">
      <w:start w:val="1"/>
      <w:numFmt w:val="decimal"/>
      <w:lvlText w:val="%9."/>
      <w:lvlJc w:val="left"/>
      <w:pPr>
        <w:ind w:left="1440" w:hanging="360"/>
      </w:pPr>
    </w:lvl>
  </w:abstractNum>
  <w:abstractNum w:abstractNumId="13" w15:restartNumberingAfterBreak="0">
    <w:nsid w:val="3C607B05"/>
    <w:multiLevelType w:val="multilevel"/>
    <w:tmpl w:val="7FD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E620D"/>
    <w:multiLevelType w:val="multilevel"/>
    <w:tmpl w:val="AA4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86D2A"/>
    <w:multiLevelType w:val="hybridMultilevel"/>
    <w:tmpl w:val="8B3C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46B6D"/>
    <w:multiLevelType w:val="multilevel"/>
    <w:tmpl w:val="1032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921FA2"/>
    <w:multiLevelType w:val="hybridMultilevel"/>
    <w:tmpl w:val="70DC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72A1D"/>
    <w:multiLevelType w:val="multilevel"/>
    <w:tmpl w:val="ADBC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0B1C8B"/>
    <w:multiLevelType w:val="multilevel"/>
    <w:tmpl w:val="71B4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0807E5"/>
    <w:multiLevelType w:val="hybridMultilevel"/>
    <w:tmpl w:val="17740024"/>
    <w:lvl w:ilvl="0" w:tplc="AAC4B8A6">
      <w:start w:val="1"/>
      <w:numFmt w:val="decimal"/>
      <w:lvlText w:val="%1."/>
      <w:lvlJc w:val="left"/>
      <w:pPr>
        <w:ind w:left="1440" w:hanging="360"/>
      </w:pPr>
    </w:lvl>
    <w:lvl w:ilvl="1" w:tplc="2CBA4A40">
      <w:start w:val="1"/>
      <w:numFmt w:val="decimal"/>
      <w:lvlText w:val="%2."/>
      <w:lvlJc w:val="left"/>
      <w:pPr>
        <w:ind w:left="1440" w:hanging="360"/>
      </w:pPr>
    </w:lvl>
    <w:lvl w:ilvl="2" w:tplc="EEAAB808">
      <w:start w:val="1"/>
      <w:numFmt w:val="decimal"/>
      <w:lvlText w:val="%3."/>
      <w:lvlJc w:val="left"/>
      <w:pPr>
        <w:ind w:left="1440" w:hanging="360"/>
      </w:pPr>
    </w:lvl>
    <w:lvl w:ilvl="3" w:tplc="A93A9A8A">
      <w:start w:val="1"/>
      <w:numFmt w:val="decimal"/>
      <w:lvlText w:val="%4."/>
      <w:lvlJc w:val="left"/>
      <w:pPr>
        <w:ind w:left="1440" w:hanging="360"/>
      </w:pPr>
    </w:lvl>
    <w:lvl w:ilvl="4" w:tplc="288033CE">
      <w:start w:val="1"/>
      <w:numFmt w:val="decimal"/>
      <w:lvlText w:val="%5."/>
      <w:lvlJc w:val="left"/>
      <w:pPr>
        <w:ind w:left="1440" w:hanging="360"/>
      </w:pPr>
    </w:lvl>
    <w:lvl w:ilvl="5" w:tplc="EAFA211C">
      <w:start w:val="1"/>
      <w:numFmt w:val="decimal"/>
      <w:lvlText w:val="%6."/>
      <w:lvlJc w:val="left"/>
      <w:pPr>
        <w:ind w:left="1440" w:hanging="360"/>
      </w:pPr>
    </w:lvl>
    <w:lvl w:ilvl="6" w:tplc="97181A9A">
      <w:start w:val="1"/>
      <w:numFmt w:val="decimal"/>
      <w:lvlText w:val="%7."/>
      <w:lvlJc w:val="left"/>
      <w:pPr>
        <w:ind w:left="1440" w:hanging="360"/>
      </w:pPr>
    </w:lvl>
    <w:lvl w:ilvl="7" w:tplc="DB026424">
      <w:start w:val="1"/>
      <w:numFmt w:val="decimal"/>
      <w:lvlText w:val="%8."/>
      <w:lvlJc w:val="left"/>
      <w:pPr>
        <w:ind w:left="1440" w:hanging="360"/>
      </w:pPr>
    </w:lvl>
    <w:lvl w:ilvl="8" w:tplc="0D3CFE28">
      <w:start w:val="1"/>
      <w:numFmt w:val="decimal"/>
      <w:lvlText w:val="%9."/>
      <w:lvlJc w:val="left"/>
      <w:pPr>
        <w:ind w:left="1440" w:hanging="360"/>
      </w:pPr>
    </w:lvl>
  </w:abstractNum>
  <w:abstractNum w:abstractNumId="21" w15:restartNumberingAfterBreak="0">
    <w:nsid w:val="63D47FAA"/>
    <w:multiLevelType w:val="multilevel"/>
    <w:tmpl w:val="05B8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846DF9"/>
    <w:multiLevelType w:val="hybridMultilevel"/>
    <w:tmpl w:val="559E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86240"/>
    <w:multiLevelType w:val="multilevel"/>
    <w:tmpl w:val="017A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493CB7"/>
    <w:multiLevelType w:val="hybridMultilevel"/>
    <w:tmpl w:val="1466DEA6"/>
    <w:lvl w:ilvl="0" w:tplc="3E0CB230">
      <w:start w:val="1"/>
      <w:numFmt w:val="decimal"/>
      <w:lvlText w:val="%1."/>
      <w:lvlJc w:val="left"/>
      <w:pPr>
        <w:ind w:left="1440" w:hanging="360"/>
      </w:pPr>
    </w:lvl>
    <w:lvl w:ilvl="1" w:tplc="720E1176">
      <w:start w:val="1"/>
      <w:numFmt w:val="decimal"/>
      <w:lvlText w:val="%2."/>
      <w:lvlJc w:val="left"/>
      <w:pPr>
        <w:ind w:left="1440" w:hanging="360"/>
      </w:pPr>
    </w:lvl>
    <w:lvl w:ilvl="2" w:tplc="3C9EE002">
      <w:start w:val="1"/>
      <w:numFmt w:val="decimal"/>
      <w:lvlText w:val="%3."/>
      <w:lvlJc w:val="left"/>
      <w:pPr>
        <w:ind w:left="1440" w:hanging="360"/>
      </w:pPr>
    </w:lvl>
    <w:lvl w:ilvl="3" w:tplc="2ACC59E8">
      <w:start w:val="1"/>
      <w:numFmt w:val="decimal"/>
      <w:lvlText w:val="%4."/>
      <w:lvlJc w:val="left"/>
      <w:pPr>
        <w:ind w:left="1440" w:hanging="360"/>
      </w:pPr>
    </w:lvl>
    <w:lvl w:ilvl="4" w:tplc="B51EBE92">
      <w:start w:val="1"/>
      <w:numFmt w:val="decimal"/>
      <w:lvlText w:val="%5."/>
      <w:lvlJc w:val="left"/>
      <w:pPr>
        <w:ind w:left="1440" w:hanging="360"/>
      </w:pPr>
    </w:lvl>
    <w:lvl w:ilvl="5" w:tplc="78C22FB2">
      <w:start w:val="1"/>
      <w:numFmt w:val="decimal"/>
      <w:lvlText w:val="%6."/>
      <w:lvlJc w:val="left"/>
      <w:pPr>
        <w:ind w:left="1440" w:hanging="360"/>
      </w:pPr>
    </w:lvl>
    <w:lvl w:ilvl="6" w:tplc="3F7CEB82">
      <w:start w:val="1"/>
      <w:numFmt w:val="decimal"/>
      <w:lvlText w:val="%7."/>
      <w:lvlJc w:val="left"/>
      <w:pPr>
        <w:ind w:left="1440" w:hanging="360"/>
      </w:pPr>
    </w:lvl>
    <w:lvl w:ilvl="7" w:tplc="79181384">
      <w:start w:val="1"/>
      <w:numFmt w:val="decimal"/>
      <w:lvlText w:val="%8."/>
      <w:lvlJc w:val="left"/>
      <w:pPr>
        <w:ind w:left="1440" w:hanging="360"/>
      </w:pPr>
    </w:lvl>
    <w:lvl w:ilvl="8" w:tplc="12EC2D64">
      <w:start w:val="1"/>
      <w:numFmt w:val="decimal"/>
      <w:lvlText w:val="%9."/>
      <w:lvlJc w:val="left"/>
      <w:pPr>
        <w:ind w:left="1440" w:hanging="360"/>
      </w:pPr>
    </w:lvl>
  </w:abstractNum>
  <w:abstractNum w:abstractNumId="25" w15:restartNumberingAfterBreak="0">
    <w:nsid w:val="78CB4B34"/>
    <w:multiLevelType w:val="multilevel"/>
    <w:tmpl w:val="ABE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52A27"/>
    <w:multiLevelType w:val="hybridMultilevel"/>
    <w:tmpl w:val="CBE4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4327">
    <w:abstractNumId w:val="11"/>
  </w:num>
  <w:num w:numId="2" w16cid:durableId="1276601502">
    <w:abstractNumId w:val="23"/>
  </w:num>
  <w:num w:numId="3" w16cid:durableId="1857770202">
    <w:abstractNumId w:val="24"/>
  </w:num>
  <w:num w:numId="4" w16cid:durableId="1365523481">
    <w:abstractNumId w:val="17"/>
  </w:num>
  <w:num w:numId="5" w16cid:durableId="950212483">
    <w:abstractNumId w:val="3"/>
  </w:num>
  <w:num w:numId="6" w16cid:durableId="2134402243">
    <w:abstractNumId w:val="12"/>
  </w:num>
  <w:num w:numId="7" w16cid:durableId="639460037">
    <w:abstractNumId w:val="7"/>
  </w:num>
  <w:num w:numId="8" w16cid:durableId="52823377">
    <w:abstractNumId w:val="20"/>
  </w:num>
  <w:num w:numId="9" w16cid:durableId="172688508">
    <w:abstractNumId w:val="10"/>
  </w:num>
  <w:num w:numId="10" w16cid:durableId="592516918">
    <w:abstractNumId w:val="5"/>
  </w:num>
  <w:num w:numId="11" w16cid:durableId="1420175016">
    <w:abstractNumId w:val="1"/>
  </w:num>
  <w:num w:numId="12" w16cid:durableId="1527406319">
    <w:abstractNumId w:val="6"/>
  </w:num>
  <w:num w:numId="13" w16cid:durableId="2098360979">
    <w:abstractNumId w:val="19"/>
  </w:num>
  <w:num w:numId="14" w16cid:durableId="1200626383">
    <w:abstractNumId w:val="18"/>
  </w:num>
  <w:num w:numId="15" w16cid:durableId="1847213138">
    <w:abstractNumId w:val="16"/>
  </w:num>
  <w:num w:numId="16" w16cid:durableId="945962558">
    <w:abstractNumId w:val="4"/>
  </w:num>
  <w:num w:numId="17" w16cid:durableId="1771005221">
    <w:abstractNumId w:val="13"/>
  </w:num>
  <w:num w:numId="18" w16cid:durableId="2084328682">
    <w:abstractNumId w:val="21"/>
  </w:num>
  <w:num w:numId="19" w16cid:durableId="835848120">
    <w:abstractNumId w:val="15"/>
  </w:num>
  <w:num w:numId="20" w16cid:durableId="735324869">
    <w:abstractNumId w:val="26"/>
  </w:num>
  <w:num w:numId="21" w16cid:durableId="1566990857">
    <w:abstractNumId w:val="25"/>
  </w:num>
  <w:num w:numId="22" w16cid:durableId="772626391">
    <w:abstractNumId w:val="9"/>
  </w:num>
  <w:num w:numId="23" w16cid:durableId="2021274053">
    <w:abstractNumId w:val="0"/>
  </w:num>
  <w:num w:numId="24" w16cid:durableId="297564842">
    <w:abstractNumId w:val="14"/>
  </w:num>
  <w:num w:numId="25" w16cid:durableId="2125269050">
    <w:abstractNumId w:val="8"/>
  </w:num>
  <w:num w:numId="26" w16cid:durableId="921261453">
    <w:abstractNumId w:val="2"/>
  </w:num>
  <w:num w:numId="27" w16cid:durableId="1754355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39E27"/>
    <w:rsid w:val="000012DA"/>
    <w:rsid w:val="00002160"/>
    <w:rsid w:val="0000279C"/>
    <w:rsid w:val="00002927"/>
    <w:rsid w:val="0000583C"/>
    <w:rsid w:val="000059B4"/>
    <w:rsid w:val="000060DB"/>
    <w:rsid w:val="00006DD1"/>
    <w:rsid w:val="00006EEB"/>
    <w:rsid w:val="00010CC3"/>
    <w:rsid w:val="000145EF"/>
    <w:rsid w:val="00015374"/>
    <w:rsid w:val="00015E9E"/>
    <w:rsid w:val="000162C0"/>
    <w:rsid w:val="00020FED"/>
    <w:rsid w:val="00021FEE"/>
    <w:rsid w:val="00022536"/>
    <w:rsid w:val="00023A99"/>
    <w:rsid w:val="0002518F"/>
    <w:rsid w:val="00030C6A"/>
    <w:rsid w:val="00031090"/>
    <w:rsid w:val="000338C5"/>
    <w:rsid w:val="000373BC"/>
    <w:rsid w:val="00040DBC"/>
    <w:rsid w:val="000412C5"/>
    <w:rsid w:val="00042EA7"/>
    <w:rsid w:val="000431C6"/>
    <w:rsid w:val="0004411E"/>
    <w:rsid w:val="000447AD"/>
    <w:rsid w:val="00044A6F"/>
    <w:rsid w:val="00044D2D"/>
    <w:rsid w:val="00047F45"/>
    <w:rsid w:val="00050981"/>
    <w:rsid w:val="00050A20"/>
    <w:rsid w:val="0005120A"/>
    <w:rsid w:val="000552B6"/>
    <w:rsid w:val="00055477"/>
    <w:rsid w:val="00055EBF"/>
    <w:rsid w:val="000561B8"/>
    <w:rsid w:val="00060A54"/>
    <w:rsid w:val="00060AD6"/>
    <w:rsid w:val="000616F5"/>
    <w:rsid w:val="00061921"/>
    <w:rsid w:val="00061D57"/>
    <w:rsid w:val="00062DEB"/>
    <w:rsid w:val="0006345F"/>
    <w:rsid w:val="0006519F"/>
    <w:rsid w:val="00065521"/>
    <w:rsid w:val="000659B4"/>
    <w:rsid w:val="00065E78"/>
    <w:rsid w:val="0006636F"/>
    <w:rsid w:val="00067FD0"/>
    <w:rsid w:val="000702D7"/>
    <w:rsid w:val="000714D6"/>
    <w:rsid w:val="0007163C"/>
    <w:rsid w:val="00071A11"/>
    <w:rsid w:val="00071D33"/>
    <w:rsid w:val="00072A12"/>
    <w:rsid w:val="00072F6A"/>
    <w:rsid w:val="0007698D"/>
    <w:rsid w:val="00076A2E"/>
    <w:rsid w:val="00077C65"/>
    <w:rsid w:val="000803ED"/>
    <w:rsid w:val="00080423"/>
    <w:rsid w:val="00080B1A"/>
    <w:rsid w:val="00081822"/>
    <w:rsid w:val="0008221C"/>
    <w:rsid w:val="00090E7E"/>
    <w:rsid w:val="00091D54"/>
    <w:rsid w:val="00092CA0"/>
    <w:rsid w:val="00093215"/>
    <w:rsid w:val="0009341F"/>
    <w:rsid w:val="0009451F"/>
    <w:rsid w:val="00094C0C"/>
    <w:rsid w:val="0009525F"/>
    <w:rsid w:val="00095A87"/>
    <w:rsid w:val="000A027F"/>
    <w:rsid w:val="000A047B"/>
    <w:rsid w:val="000A0FC3"/>
    <w:rsid w:val="000A1128"/>
    <w:rsid w:val="000A261F"/>
    <w:rsid w:val="000A4235"/>
    <w:rsid w:val="000A4604"/>
    <w:rsid w:val="000A4E35"/>
    <w:rsid w:val="000A643A"/>
    <w:rsid w:val="000A77A9"/>
    <w:rsid w:val="000B08D6"/>
    <w:rsid w:val="000B0F68"/>
    <w:rsid w:val="000B1DD1"/>
    <w:rsid w:val="000B2C5A"/>
    <w:rsid w:val="000B4181"/>
    <w:rsid w:val="000B4200"/>
    <w:rsid w:val="000B5ACC"/>
    <w:rsid w:val="000B5BF3"/>
    <w:rsid w:val="000B6531"/>
    <w:rsid w:val="000C01BA"/>
    <w:rsid w:val="000C1163"/>
    <w:rsid w:val="000C40DD"/>
    <w:rsid w:val="000C5932"/>
    <w:rsid w:val="000C5F0E"/>
    <w:rsid w:val="000C695F"/>
    <w:rsid w:val="000C77FF"/>
    <w:rsid w:val="000D0154"/>
    <w:rsid w:val="000D02DF"/>
    <w:rsid w:val="000D07D8"/>
    <w:rsid w:val="000D10C6"/>
    <w:rsid w:val="000D1713"/>
    <w:rsid w:val="000D2FCA"/>
    <w:rsid w:val="000D301E"/>
    <w:rsid w:val="000D3CA0"/>
    <w:rsid w:val="000D4382"/>
    <w:rsid w:val="000D4CB4"/>
    <w:rsid w:val="000D5EC7"/>
    <w:rsid w:val="000D60BB"/>
    <w:rsid w:val="000D7FE3"/>
    <w:rsid w:val="000E07F8"/>
    <w:rsid w:val="000E08C4"/>
    <w:rsid w:val="000E1519"/>
    <w:rsid w:val="000E1739"/>
    <w:rsid w:val="000E2177"/>
    <w:rsid w:val="000E2934"/>
    <w:rsid w:val="000E56A2"/>
    <w:rsid w:val="000E6437"/>
    <w:rsid w:val="000E6791"/>
    <w:rsid w:val="000E725E"/>
    <w:rsid w:val="000E7BC1"/>
    <w:rsid w:val="000F2CB9"/>
    <w:rsid w:val="000F47F4"/>
    <w:rsid w:val="000F4F91"/>
    <w:rsid w:val="000F51DC"/>
    <w:rsid w:val="000F5D35"/>
    <w:rsid w:val="000F6F8C"/>
    <w:rsid w:val="0010017A"/>
    <w:rsid w:val="00100406"/>
    <w:rsid w:val="00100490"/>
    <w:rsid w:val="00100F6A"/>
    <w:rsid w:val="00101049"/>
    <w:rsid w:val="00102617"/>
    <w:rsid w:val="0010330B"/>
    <w:rsid w:val="00105487"/>
    <w:rsid w:val="00105599"/>
    <w:rsid w:val="001056DB"/>
    <w:rsid w:val="00106764"/>
    <w:rsid w:val="0010773A"/>
    <w:rsid w:val="0011131C"/>
    <w:rsid w:val="001135AB"/>
    <w:rsid w:val="00113890"/>
    <w:rsid w:val="001138E8"/>
    <w:rsid w:val="00116BAC"/>
    <w:rsid w:val="0011791B"/>
    <w:rsid w:val="00120A1C"/>
    <w:rsid w:val="00120F02"/>
    <w:rsid w:val="00122872"/>
    <w:rsid w:val="0012310F"/>
    <w:rsid w:val="001232BB"/>
    <w:rsid w:val="00124BD3"/>
    <w:rsid w:val="001264F2"/>
    <w:rsid w:val="00126DEA"/>
    <w:rsid w:val="00132D97"/>
    <w:rsid w:val="0013383C"/>
    <w:rsid w:val="00134066"/>
    <w:rsid w:val="001353DC"/>
    <w:rsid w:val="00135B8B"/>
    <w:rsid w:val="0013609E"/>
    <w:rsid w:val="00136AA8"/>
    <w:rsid w:val="001402AB"/>
    <w:rsid w:val="00140696"/>
    <w:rsid w:val="00140EBF"/>
    <w:rsid w:val="0014525D"/>
    <w:rsid w:val="001465C3"/>
    <w:rsid w:val="001473CC"/>
    <w:rsid w:val="001506C7"/>
    <w:rsid w:val="00150C65"/>
    <w:rsid w:val="001514BB"/>
    <w:rsid w:val="0015188B"/>
    <w:rsid w:val="00152BCF"/>
    <w:rsid w:val="00153903"/>
    <w:rsid w:val="0015393D"/>
    <w:rsid w:val="00154B2D"/>
    <w:rsid w:val="0015618D"/>
    <w:rsid w:val="0015636F"/>
    <w:rsid w:val="00156FA5"/>
    <w:rsid w:val="00157B3B"/>
    <w:rsid w:val="001613EB"/>
    <w:rsid w:val="00161EC7"/>
    <w:rsid w:val="001622DB"/>
    <w:rsid w:val="001674CB"/>
    <w:rsid w:val="00170292"/>
    <w:rsid w:val="0017044F"/>
    <w:rsid w:val="0017165B"/>
    <w:rsid w:val="00171EBC"/>
    <w:rsid w:val="00173B84"/>
    <w:rsid w:val="0017449F"/>
    <w:rsid w:val="00174AFA"/>
    <w:rsid w:val="0017506E"/>
    <w:rsid w:val="001758C6"/>
    <w:rsid w:val="00177C9A"/>
    <w:rsid w:val="00180606"/>
    <w:rsid w:val="00180DD7"/>
    <w:rsid w:val="0018130E"/>
    <w:rsid w:val="00181922"/>
    <w:rsid w:val="001835D6"/>
    <w:rsid w:val="0018380C"/>
    <w:rsid w:val="00183BC7"/>
    <w:rsid w:val="00184E23"/>
    <w:rsid w:val="0018640C"/>
    <w:rsid w:val="00186CEC"/>
    <w:rsid w:val="001912AD"/>
    <w:rsid w:val="00193AD3"/>
    <w:rsid w:val="00194EB1"/>
    <w:rsid w:val="00195C14"/>
    <w:rsid w:val="00195DD6"/>
    <w:rsid w:val="001960E5"/>
    <w:rsid w:val="00197101"/>
    <w:rsid w:val="001A0A26"/>
    <w:rsid w:val="001A28C3"/>
    <w:rsid w:val="001A2FD5"/>
    <w:rsid w:val="001A3B7C"/>
    <w:rsid w:val="001A4A17"/>
    <w:rsid w:val="001A4EA5"/>
    <w:rsid w:val="001A50E3"/>
    <w:rsid w:val="001A59BB"/>
    <w:rsid w:val="001A6E20"/>
    <w:rsid w:val="001A7470"/>
    <w:rsid w:val="001A7EB3"/>
    <w:rsid w:val="001B13D5"/>
    <w:rsid w:val="001B254D"/>
    <w:rsid w:val="001B25B6"/>
    <w:rsid w:val="001B28B4"/>
    <w:rsid w:val="001B34A3"/>
    <w:rsid w:val="001B352F"/>
    <w:rsid w:val="001B3550"/>
    <w:rsid w:val="001B3B0B"/>
    <w:rsid w:val="001B4415"/>
    <w:rsid w:val="001B646F"/>
    <w:rsid w:val="001B66F4"/>
    <w:rsid w:val="001B6879"/>
    <w:rsid w:val="001B7326"/>
    <w:rsid w:val="001B79D7"/>
    <w:rsid w:val="001B7F9A"/>
    <w:rsid w:val="001C0F39"/>
    <w:rsid w:val="001C22CB"/>
    <w:rsid w:val="001C4254"/>
    <w:rsid w:val="001C4C16"/>
    <w:rsid w:val="001C5D5E"/>
    <w:rsid w:val="001C622C"/>
    <w:rsid w:val="001C73BB"/>
    <w:rsid w:val="001D1271"/>
    <w:rsid w:val="001D1E98"/>
    <w:rsid w:val="001D2206"/>
    <w:rsid w:val="001D2750"/>
    <w:rsid w:val="001D4859"/>
    <w:rsid w:val="001D4C94"/>
    <w:rsid w:val="001D5942"/>
    <w:rsid w:val="001D5CA8"/>
    <w:rsid w:val="001D74DE"/>
    <w:rsid w:val="001D7AC3"/>
    <w:rsid w:val="001E1AD9"/>
    <w:rsid w:val="001E2450"/>
    <w:rsid w:val="001E246C"/>
    <w:rsid w:val="001E24D0"/>
    <w:rsid w:val="001E32A8"/>
    <w:rsid w:val="001E47C0"/>
    <w:rsid w:val="001E51B5"/>
    <w:rsid w:val="001E5DD1"/>
    <w:rsid w:val="001E6A1C"/>
    <w:rsid w:val="001E6B30"/>
    <w:rsid w:val="001E7C4A"/>
    <w:rsid w:val="001F04DA"/>
    <w:rsid w:val="001F25DD"/>
    <w:rsid w:val="001F2ECB"/>
    <w:rsid w:val="001F3EFF"/>
    <w:rsid w:val="001F4E79"/>
    <w:rsid w:val="001F5364"/>
    <w:rsid w:val="001F54C5"/>
    <w:rsid w:val="001F6BAD"/>
    <w:rsid w:val="001F6E85"/>
    <w:rsid w:val="00200314"/>
    <w:rsid w:val="0020040C"/>
    <w:rsid w:val="00203AFB"/>
    <w:rsid w:val="00210718"/>
    <w:rsid w:val="002119C6"/>
    <w:rsid w:val="00212A72"/>
    <w:rsid w:val="002160FA"/>
    <w:rsid w:val="002161EA"/>
    <w:rsid w:val="002163B1"/>
    <w:rsid w:val="002168C6"/>
    <w:rsid w:val="0022102E"/>
    <w:rsid w:val="0022165A"/>
    <w:rsid w:val="00221EA5"/>
    <w:rsid w:val="0022249D"/>
    <w:rsid w:val="0022277D"/>
    <w:rsid w:val="002229D4"/>
    <w:rsid w:val="00227892"/>
    <w:rsid w:val="00227BC6"/>
    <w:rsid w:val="0023074E"/>
    <w:rsid w:val="002307A8"/>
    <w:rsid w:val="00231463"/>
    <w:rsid w:val="00231AB5"/>
    <w:rsid w:val="00231DD0"/>
    <w:rsid w:val="00232364"/>
    <w:rsid w:val="0023240A"/>
    <w:rsid w:val="0023338D"/>
    <w:rsid w:val="00234754"/>
    <w:rsid w:val="00235725"/>
    <w:rsid w:val="00235ECD"/>
    <w:rsid w:val="00236B58"/>
    <w:rsid w:val="002374B1"/>
    <w:rsid w:val="00241F1A"/>
    <w:rsid w:val="00242CA9"/>
    <w:rsid w:val="00243F8D"/>
    <w:rsid w:val="00244B24"/>
    <w:rsid w:val="00244B8C"/>
    <w:rsid w:val="00244CD6"/>
    <w:rsid w:val="00245120"/>
    <w:rsid w:val="00247D3E"/>
    <w:rsid w:val="00251574"/>
    <w:rsid w:val="00251D20"/>
    <w:rsid w:val="00252235"/>
    <w:rsid w:val="00252ACD"/>
    <w:rsid w:val="00252C28"/>
    <w:rsid w:val="00253709"/>
    <w:rsid w:val="00254536"/>
    <w:rsid w:val="00255F8F"/>
    <w:rsid w:val="0025650F"/>
    <w:rsid w:val="00256B09"/>
    <w:rsid w:val="00257C22"/>
    <w:rsid w:val="00260F85"/>
    <w:rsid w:val="00261F3B"/>
    <w:rsid w:val="0026280D"/>
    <w:rsid w:val="002628C0"/>
    <w:rsid w:val="00264B5A"/>
    <w:rsid w:val="00266DF0"/>
    <w:rsid w:val="0026788B"/>
    <w:rsid w:val="00267CB3"/>
    <w:rsid w:val="00271CF6"/>
    <w:rsid w:val="0027200F"/>
    <w:rsid w:val="0027218E"/>
    <w:rsid w:val="00272762"/>
    <w:rsid w:val="00272F6F"/>
    <w:rsid w:val="00273C48"/>
    <w:rsid w:val="00277E05"/>
    <w:rsid w:val="0028000A"/>
    <w:rsid w:val="00280074"/>
    <w:rsid w:val="00280120"/>
    <w:rsid w:val="002810CB"/>
    <w:rsid w:val="00281DC6"/>
    <w:rsid w:val="00282AE3"/>
    <w:rsid w:val="00282E3E"/>
    <w:rsid w:val="00283765"/>
    <w:rsid w:val="002839E3"/>
    <w:rsid w:val="00283CA5"/>
    <w:rsid w:val="00286B8C"/>
    <w:rsid w:val="00287209"/>
    <w:rsid w:val="00291241"/>
    <w:rsid w:val="00292612"/>
    <w:rsid w:val="0029319E"/>
    <w:rsid w:val="00293452"/>
    <w:rsid w:val="00294088"/>
    <w:rsid w:val="002941CE"/>
    <w:rsid w:val="00295CA4"/>
    <w:rsid w:val="0029632F"/>
    <w:rsid w:val="00296355"/>
    <w:rsid w:val="00297562"/>
    <w:rsid w:val="00297DBD"/>
    <w:rsid w:val="002A10DA"/>
    <w:rsid w:val="002A38EE"/>
    <w:rsid w:val="002A4141"/>
    <w:rsid w:val="002A4191"/>
    <w:rsid w:val="002A42CF"/>
    <w:rsid w:val="002A4B83"/>
    <w:rsid w:val="002A4F34"/>
    <w:rsid w:val="002A5FAA"/>
    <w:rsid w:val="002A632A"/>
    <w:rsid w:val="002A7B4A"/>
    <w:rsid w:val="002B0ACD"/>
    <w:rsid w:val="002B100B"/>
    <w:rsid w:val="002B46BC"/>
    <w:rsid w:val="002B54CE"/>
    <w:rsid w:val="002C0F52"/>
    <w:rsid w:val="002C0FF5"/>
    <w:rsid w:val="002C17A2"/>
    <w:rsid w:val="002C2049"/>
    <w:rsid w:val="002C2598"/>
    <w:rsid w:val="002C31F9"/>
    <w:rsid w:val="002C3210"/>
    <w:rsid w:val="002C383A"/>
    <w:rsid w:val="002C4187"/>
    <w:rsid w:val="002C4FCF"/>
    <w:rsid w:val="002C5605"/>
    <w:rsid w:val="002C635D"/>
    <w:rsid w:val="002C79C9"/>
    <w:rsid w:val="002D064C"/>
    <w:rsid w:val="002D145A"/>
    <w:rsid w:val="002D146B"/>
    <w:rsid w:val="002D18CB"/>
    <w:rsid w:val="002D1F3A"/>
    <w:rsid w:val="002D22F7"/>
    <w:rsid w:val="002D2624"/>
    <w:rsid w:val="002D26F5"/>
    <w:rsid w:val="002D3463"/>
    <w:rsid w:val="002D449E"/>
    <w:rsid w:val="002D4560"/>
    <w:rsid w:val="002D5223"/>
    <w:rsid w:val="002D72FC"/>
    <w:rsid w:val="002E0359"/>
    <w:rsid w:val="002E0C08"/>
    <w:rsid w:val="002E0F3C"/>
    <w:rsid w:val="002E2151"/>
    <w:rsid w:val="002E275B"/>
    <w:rsid w:val="002E3F89"/>
    <w:rsid w:val="002E4FED"/>
    <w:rsid w:val="002E54B0"/>
    <w:rsid w:val="002E5FF2"/>
    <w:rsid w:val="002F0B80"/>
    <w:rsid w:val="002F14F2"/>
    <w:rsid w:val="002F158A"/>
    <w:rsid w:val="002F2151"/>
    <w:rsid w:val="002F3020"/>
    <w:rsid w:val="002F3033"/>
    <w:rsid w:val="002F3377"/>
    <w:rsid w:val="002F3D8B"/>
    <w:rsid w:val="002F5BB3"/>
    <w:rsid w:val="00301030"/>
    <w:rsid w:val="0030143C"/>
    <w:rsid w:val="00301DDA"/>
    <w:rsid w:val="00307073"/>
    <w:rsid w:val="003076A0"/>
    <w:rsid w:val="00311294"/>
    <w:rsid w:val="00312D50"/>
    <w:rsid w:val="003133CA"/>
    <w:rsid w:val="00314FDA"/>
    <w:rsid w:val="00325662"/>
    <w:rsid w:val="0032687C"/>
    <w:rsid w:val="003270CA"/>
    <w:rsid w:val="00327932"/>
    <w:rsid w:val="00330D09"/>
    <w:rsid w:val="00333730"/>
    <w:rsid w:val="0033548E"/>
    <w:rsid w:val="00335C45"/>
    <w:rsid w:val="0033648F"/>
    <w:rsid w:val="0034039F"/>
    <w:rsid w:val="00340FDE"/>
    <w:rsid w:val="0034380C"/>
    <w:rsid w:val="00343E6A"/>
    <w:rsid w:val="00344E59"/>
    <w:rsid w:val="00345AAD"/>
    <w:rsid w:val="003503DF"/>
    <w:rsid w:val="0035051F"/>
    <w:rsid w:val="003517E9"/>
    <w:rsid w:val="00351EFF"/>
    <w:rsid w:val="00352975"/>
    <w:rsid w:val="00353F2F"/>
    <w:rsid w:val="00355C25"/>
    <w:rsid w:val="00356126"/>
    <w:rsid w:val="00360148"/>
    <w:rsid w:val="00360198"/>
    <w:rsid w:val="00361DD8"/>
    <w:rsid w:val="00362C1E"/>
    <w:rsid w:val="00363752"/>
    <w:rsid w:val="00365107"/>
    <w:rsid w:val="00365609"/>
    <w:rsid w:val="00367E47"/>
    <w:rsid w:val="00371A34"/>
    <w:rsid w:val="0037463F"/>
    <w:rsid w:val="00374AC0"/>
    <w:rsid w:val="003752CB"/>
    <w:rsid w:val="003754FA"/>
    <w:rsid w:val="00376111"/>
    <w:rsid w:val="003769DF"/>
    <w:rsid w:val="00377662"/>
    <w:rsid w:val="00377C26"/>
    <w:rsid w:val="00381991"/>
    <w:rsid w:val="00382CE7"/>
    <w:rsid w:val="00383825"/>
    <w:rsid w:val="0038444C"/>
    <w:rsid w:val="00384A47"/>
    <w:rsid w:val="003852A9"/>
    <w:rsid w:val="00385CFE"/>
    <w:rsid w:val="0038657D"/>
    <w:rsid w:val="00386AE6"/>
    <w:rsid w:val="00387182"/>
    <w:rsid w:val="003877B8"/>
    <w:rsid w:val="00390AD0"/>
    <w:rsid w:val="00393B8B"/>
    <w:rsid w:val="00393DC1"/>
    <w:rsid w:val="003955DB"/>
    <w:rsid w:val="00397BBE"/>
    <w:rsid w:val="003A163D"/>
    <w:rsid w:val="003A2BAF"/>
    <w:rsid w:val="003A36D7"/>
    <w:rsid w:val="003A3F7F"/>
    <w:rsid w:val="003A511B"/>
    <w:rsid w:val="003A538C"/>
    <w:rsid w:val="003A5D17"/>
    <w:rsid w:val="003A6165"/>
    <w:rsid w:val="003A7C74"/>
    <w:rsid w:val="003A7F02"/>
    <w:rsid w:val="003B085A"/>
    <w:rsid w:val="003B0898"/>
    <w:rsid w:val="003B2C38"/>
    <w:rsid w:val="003B2F32"/>
    <w:rsid w:val="003B3994"/>
    <w:rsid w:val="003B4E5A"/>
    <w:rsid w:val="003B56AD"/>
    <w:rsid w:val="003B6564"/>
    <w:rsid w:val="003B7AE6"/>
    <w:rsid w:val="003B7E32"/>
    <w:rsid w:val="003C1492"/>
    <w:rsid w:val="003C1F99"/>
    <w:rsid w:val="003C3E7A"/>
    <w:rsid w:val="003C474F"/>
    <w:rsid w:val="003C664D"/>
    <w:rsid w:val="003D039F"/>
    <w:rsid w:val="003D04F2"/>
    <w:rsid w:val="003D2289"/>
    <w:rsid w:val="003D2C03"/>
    <w:rsid w:val="003D395E"/>
    <w:rsid w:val="003D5DA3"/>
    <w:rsid w:val="003D67EA"/>
    <w:rsid w:val="003D786E"/>
    <w:rsid w:val="003D7AAF"/>
    <w:rsid w:val="003D7DF8"/>
    <w:rsid w:val="003E1364"/>
    <w:rsid w:val="003E230E"/>
    <w:rsid w:val="003E5515"/>
    <w:rsid w:val="003E5DF8"/>
    <w:rsid w:val="003F1274"/>
    <w:rsid w:val="003F7ACE"/>
    <w:rsid w:val="00401FC8"/>
    <w:rsid w:val="00402060"/>
    <w:rsid w:val="004037CE"/>
    <w:rsid w:val="0040521A"/>
    <w:rsid w:val="0040727E"/>
    <w:rsid w:val="00407E04"/>
    <w:rsid w:val="00410822"/>
    <w:rsid w:val="00412860"/>
    <w:rsid w:val="0041636D"/>
    <w:rsid w:val="004168C5"/>
    <w:rsid w:val="00416BAC"/>
    <w:rsid w:val="004171D9"/>
    <w:rsid w:val="00417DC1"/>
    <w:rsid w:val="00420771"/>
    <w:rsid w:val="00420F45"/>
    <w:rsid w:val="00421235"/>
    <w:rsid w:val="0042137A"/>
    <w:rsid w:val="0042157F"/>
    <w:rsid w:val="00421650"/>
    <w:rsid w:val="0042225D"/>
    <w:rsid w:val="0042313B"/>
    <w:rsid w:val="004231DB"/>
    <w:rsid w:val="00424187"/>
    <w:rsid w:val="004242EA"/>
    <w:rsid w:val="004249BD"/>
    <w:rsid w:val="00426312"/>
    <w:rsid w:val="0042769C"/>
    <w:rsid w:val="00431784"/>
    <w:rsid w:val="00431894"/>
    <w:rsid w:val="00432EB4"/>
    <w:rsid w:val="004346E5"/>
    <w:rsid w:val="004348D4"/>
    <w:rsid w:val="00434FAD"/>
    <w:rsid w:val="004356B8"/>
    <w:rsid w:val="00435E0B"/>
    <w:rsid w:val="00436B12"/>
    <w:rsid w:val="00436E2B"/>
    <w:rsid w:val="00436FDE"/>
    <w:rsid w:val="00437386"/>
    <w:rsid w:val="00440508"/>
    <w:rsid w:val="004412DF"/>
    <w:rsid w:val="00441904"/>
    <w:rsid w:val="00442895"/>
    <w:rsid w:val="00444E1F"/>
    <w:rsid w:val="00445014"/>
    <w:rsid w:val="00445060"/>
    <w:rsid w:val="00445BFF"/>
    <w:rsid w:val="004468F1"/>
    <w:rsid w:val="0044772B"/>
    <w:rsid w:val="00451422"/>
    <w:rsid w:val="00451686"/>
    <w:rsid w:val="00454719"/>
    <w:rsid w:val="004549D8"/>
    <w:rsid w:val="004566A8"/>
    <w:rsid w:val="00457F26"/>
    <w:rsid w:val="00461349"/>
    <w:rsid w:val="00461AEF"/>
    <w:rsid w:val="0046564A"/>
    <w:rsid w:val="004656FF"/>
    <w:rsid w:val="00465F06"/>
    <w:rsid w:val="00465FF0"/>
    <w:rsid w:val="00471E86"/>
    <w:rsid w:val="00472134"/>
    <w:rsid w:val="00473BA8"/>
    <w:rsid w:val="00474615"/>
    <w:rsid w:val="0047508D"/>
    <w:rsid w:val="00475833"/>
    <w:rsid w:val="00476CF5"/>
    <w:rsid w:val="00477F69"/>
    <w:rsid w:val="00480CE7"/>
    <w:rsid w:val="004833A8"/>
    <w:rsid w:val="00483438"/>
    <w:rsid w:val="0048595D"/>
    <w:rsid w:val="00487FEB"/>
    <w:rsid w:val="00490450"/>
    <w:rsid w:val="00493B84"/>
    <w:rsid w:val="004955EB"/>
    <w:rsid w:val="0049622C"/>
    <w:rsid w:val="00496A82"/>
    <w:rsid w:val="00497751"/>
    <w:rsid w:val="004A2DD0"/>
    <w:rsid w:val="004A2E40"/>
    <w:rsid w:val="004A3E2A"/>
    <w:rsid w:val="004A4161"/>
    <w:rsid w:val="004A4769"/>
    <w:rsid w:val="004A702F"/>
    <w:rsid w:val="004B03A0"/>
    <w:rsid w:val="004B0675"/>
    <w:rsid w:val="004B0D0A"/>
    <w:rsid w:val="004B23D3"/>
    <w:rsid w:val="004B2472"/>
    <w:rsid w:val="004B24C3"/>
    <w:rsid w:val="004B2508"/>
    <w:rsid w:val="004B4114"/>
    <w:rsid w:val="004B467B"/>
    <w:rsid w:val="004B4BF0"/>
    <w:rsid w:val="004B54FE"/>
    <w:rsid w:val="004B6BC0"/>
    <w:rsid w:val="004C1A6A"/>
    <w:rsid w:val="004C2DBB"/>
    <w:rsid w:val="004C2FA8"/>
    <w:rsid w:val="004C41C0"/>
    <w:rsid w:val="004C4C0A"/>
    <w:rsid w:val="004C4FE7"/>
    <w:rsid w:val="004C5623"/>
    <w:rsid w:val="004C58A7"/>
    <w:rsid w:val="004C60A6"/>
    <w:rsid w:val="004C62FC"/>
    <w:rsid w:val="004C6744"/>
    <w:rsid w:val="004C689D"/>
    <w:rsid w:val="004C6AD3"/>
    <w:rsid w:val="004C6BBD"/>
    <w:rsid w:val="004C6FDE"/>
    <w:rsid w:val="004C72C4"/>
    <w:rsid w:val="004D067E"/>
    <w:rsid w:val="004D090B"/>
    <w:rsid w:val="004D115A"/>
    <w:rsid w:val="004D343C"/>
    <w:rsid w:val="004D443E"/>
    <w:rsid w:val="004E0338"/>
    <w:rsid w:val="004E1FE1"/>
    <w:rsid w:val="004E29C3"/>
    <w:rsid w:val="004E4899"/>
    <w:rsid w:val="004E4DFA"/>
    <w:rsid w:val="004E5E30"/>
    <w:rsid w:val="004E6D22"/>
    <w:rsid w:val="004F0825"/>
    <w:rsid w:val="004F0FAD"/>
    <w:rsid w:val="004F2571"/>
    <w:rsid w:val="004F2E78"/>
    <w:rsid w:val="004F31AB"/>
    <w:rsid w:val="004F5B14"/>
    <w:rsid w:val="004F6828"/>
    <w:rsid w:val="004F725F"/>
    <w:rsid w:val="005008AE"/>
    <w:rsid w:val="00501666"/>
    <w:rsid w:val="00501A8B"/>
    <w:rsid w:val="00501EC1"/>
    <w:rsid w:val="00501ECA"/>
    <w:rsid w:val="00502AE3"/>
    <w:rsid w:val="00503C88"/>
    <w:rsid w:val="00503D08"/>
    <w:rsid w:val="00505186"/>
    <w:rsid w:val="005055DA"/>
    <w:rsid w:val="00505CB3"/>
    <w:rsid w:val="00507672"/>
    <w:rsid w:val="00507E68"/>
    <w:rsid w:val="00511447"/>
    <w:rsid w:val="005115DC"/>
    <w:rsid w:val="00511806"/>
    <w:rsid w:val="00512B87"/>
    <w:rsid w:val="00513115"/>
    <w:rsid w:val="0051355E"/>
    <w:rsid w:val="0051389A"/>
    <w:rsid w:val="00514064"/>
    <w:rsid w:val="00514901"/>
    <w:rsid w:val="00515AEB"/>
    <w:rsid w:val="005164A6"/>
    <w:rsid w:val="00520CB4"/>
    <w:rsid w:val="0052249A"/>
    <w:rsid w:val="005244F7"/>
    <w:rsid w:val="0052557F"/>
    <w:rsid w:val="00527CF2"/>
    <w:rsid w:val="005309AD"/>
    <w:rsid w:val="005316D7"/>
    <w:rsid w:val="0053275B"/>
    <w:rsid w:val="005328CC"/>
    <w:rsid w:val="00533515"/>
    <w:rsid w:val="00535647"/>
    <w:rsid w:val="00535952"/>
    <w:rsid w:val="00536AF4"/>
    <w:rsid w:val="00537DDD"/>
    <w:rsid w:val="00537E6E"/>
    <w:rsid w:val="005401AC"/>
    <w:rsid w:val="005405B3"/>
    <w:rsid w:val="0054085D"/>
    <w:rsid w:val="00544075"/>
    <w:rsid w:val="005448F8"/>
    <w:rsid w:val="00545E99"/>
    <w:rsid w:val="00546955"/>
    <w:rsid w:val="005469E3"/>
    <w:rsid w:val="00546D19"/>
    <w:rsid w:val="00550E00"/>
    <w:rsid w:val="0055173F"/>
    <w:rsid w:val="00553958"/>
    <w:rsid w:val="00555790"/>
    <w:rsid w:val="005557F9"/>
    <w:rsid w:val="00557D58"/>
    <w:rsid w:val="005609D5"/>
    <w:rsid w:val="00560E18"/>
    <w:rsid w:val="005632B4"/>
    <w:rsid w:val="00563C72"/>
    <w:rsid w:val="00564A24"/>
    <w:rsid w:val="00564CB5"/>
    <w:rsid w:val="00564EF3"/>
    <w:rsid w:val="0056620E"/>
    <w:rsid w:val="00567386"/>
    <w:rsid w:val="005704A2"/>
    <w:rsid w:val="00571CF3"/>
    <w:rsid w:val="00571F87"/>
    <w:rsid w:val="005731D0"/>
    <w:rsid w:val="00575C06"/>
    <w:rsid w:val="00576135"/>
    <w:rsid w:val="0057678D"/>
    <w:rsid w:val="005770E9"/>
    <w:rsid w:val="00577117"/>
    <w:rsid w:val="005833C0"/>
    <w:rsid w:val="00583859"/>
    <w:rsid w:val="00583F4D"/>
    <w:rsid w:val="005848E2"/>
    <w:rsid w:val="005862AD"/>
    <w:rsid w:val="00587021"/>
    <w:rsid w:val="0058749E"/>
    <w:rsid w:val="005907CE"/>
    <w:rsid w:val="00590815"/>
    <w:rsid w:val="0059309C"/>
    <w:rsid w:val="00597717"/>
    <w:rsid w:val="00597EA2"/>
    <w:rsid w:val="005A032A"/>
    <w:rsid w:val="005A03F2"/>
    <w:rsid w:val="005A2A84"/>
    <w:rsid w:val="005A2FC0"/>
    <w:rsid w:val="005A3549"/>
    <w:rsid w:val="005A38B2"/>
    <w:rsid w:val="005A4628"/>
    <w:rsid w:val="005B0847"/>
    <w:rsid w:val="005B1083"/>
    <w:rsid w:val="005B181A"/>
    <w:rsid w:val="005B1ECA"/>
    <w:rsid w:val="005B53D2"/>
    <w:rsid w:val="005B575E"/>
    <w:rsid w:val="005B682D"/>
    <w:rsid w:val="005B6CED"/>
    <w:rsid w:val="005C21E5"/>
    <w:rsid w:val="005C2813"/>
    <w:rsid w:val="005C2830"/>
    <w:rsid w:val="005C28BB"/>
    <w:rsid w:val="005C49BB"/>
    <w:rsid w:val="005C5BF3"/>
    <w:rsid w:val="005C6253"/>
    <w:rsid w:val="005D1377"/>
    <w:rsid w:val="005D497B"/>
    <w:rsid w:val="005D4FB6"/>
    <w:rsid w:val="005D694B"/>
    <w:rsid w:val="005D6E71"/>
    <w:rsid w:val="005E0174"/>
    <w:rsid w:val="005E0249"/>
    <w:rsid w:val="005E13D3"/>
    <w:rsid w:val="005E176F"/>
    <w:rsid w:val="005E1F6E"/>
    <w:rsid w:val="005E3B5F"/>
    <w:rsid w:val="005E3BC5"/>
    <w:rsid w:val="005E3DC8"/>
    <w:rsid w:val="005E3E4D"/>
    <w:rsid w:val="005E4AC5"/>
    <w:rsid w:val="005E4C85"/>
    <w:rsid w:val="005E5500"/>
    <w:rsid w:val="005E562C"/>
    <w:rsid w:val="005E585C"/>
    <w:rsid w:val="005E6236"/>
    <w:rsid w:val="005E7D69"/>
    <w:rsid w:val="005F0F3A"/>
    <w:rsid w:val="005F3F06"/>
    <w:rsid w:val="005F6CFD"/>
    <w:rsid w:val="005F7F88"/>
    <w:rsid w:val="006006D3"/>
    <w:rsid w:val="00602513"/>
    <w:rsid w:val="006032E7"/>
    <w:rsid w:val="006033CE"/>
    <w:rsid w:val="00603D14"/>
    <w:rsid w:val="00603E5A"/>
    <w:rsid w:val="006041AE"/>
    <w:rsid w:val="00604CCB"/>
    <w:rsid w:val="0060672E"/>
    <w:rsid w:val="00606B64"/>
    <w:rsid w:val="00607464"/>
    <w:rsid w:val="006074C7"/>
    <w:rsid w:val="00610BE1"/>
    <w:rsid w:val="00613AA4"/>
    <w:rsid w:val="006142EF"/>
    <w:rsid w:val="00614632"/>
    <w:rsid w:val="0061481C"/>
    <w:rsid w:val="006153FF"/>
    <w:rsid w:val="0061582E"/>
    <w:rsid w:val="00615EE6"/>
    <w:rsid w:val="006170DC"/>
    <w:rsid w:val="006173F1"/>
    <w:rsid w:val="00617BB3"/>
    <w:rsid w:val="0062192C"/>
    <w:rsid w:val="00624348"/>
    <w:rsid w:val="00627682"/>
    <w:rsid w:val="00630DF4"/>
    <w:rsid w:val="006320BB"/>
    <w:rsid w:val="00632B6D"/>
    <w:rsid w:val="00633F2A"/>
    <w:rsid w:val="006355A5"/>
    <w:rsid w:val="00635C25"/>
    <w:rsid w:val="00636E42"/>
    <w:rsid w:val="00640980"/>
    <w:rsid w:val="006424FD"/>
    <w:rsid w:val="006432A8"/>
    <w:rsid w:val="00643361"/>
    <w:rsid w:val="00644242"/>
    <w:rsid w:val="00645E41"/>
    <w:rsid w:val="006466F4"/>
    <w:rsid w:val="0064725B"/>
    <w:rsid w:val="0064750D"/>
    <w:rsid w:val="00650425"/>
    <w:rsid w:val="00652224"/>
    <w:rsid w:val="0065247D"/>
    <w:rsid w:val="006528E2"/>
    <w:rsid w:val="00653D88"/>
    <w:rsid w:val="00654424"/>
    <w:rsid w:val="00657267"/>
    <w:rsid w:val="006613B2"/>
    <w:rsid w:val="0066150F"/>
    <w:rsid w:val="00661B20"/>
    <w:rsid w:val="00661E20"/>
    <w:rsid w:val="00662A79"/>
    <w:rsid w:val="00663CF9"/>
    <w:rsid w:val="00664689"/>
    <w:rsid w:val="006648D7"/>
    <w:rsid w:val="00664ABB"/>
    <w:rsid w:val="00664E79"/>
    <w:rsid w:val="006660FE"/>
    <w:rsid w:val="00666A1F"/>
    <w:rsid w:val="00670376"/>
    <w:rsid w:val="0067252E"/>
    <w:rsid w:val="006731DE"/>
    <w:rsid w:val="006744AF"/>
    <w:rsid w:val="00674DEA"/>
    <w:rsid w:val="00674E54"/>
    <w:rsid w:val="00675508"/>
    <w:rsid w:val="00676A1E"/>
    <w:rsid w:val="00680712"/>
    <w:rsid w:val="00680716"/>
    <w:rsid w:val="00680AD0"/>
    <w:rsid w:val="00681260"/>
    <w:rsid w:val="00683FEA"/>
    <w:rsid w:val="006841AF"/>
    <w:rsid w:val="0068606D"/>
    <w:rsid w:val="00686BAC"/>
    <w:rsid w:val="00690E37"/>
    <w:rsid w:val="00690F3B"/>
    <w:rsid w:val="00691628"/>
    <w:rsid w:val="006948E3"/>
    <w:rsid w:val="00695C97"/>
    <w:rsid w:val="00695CD3"/>
    <w:rsid w:val="00697FCF"/>
    <w:rsid w:val="006A047C"/>
    <w:rsid w:val="006A17FE"/>
    <w:rsid w:val="006A1CD9"/>
    <w:rsid w:val="006A23FD"/>
    <w:rsid w:val="006A3406"/>
    <w:rsid w:val="006A4002"/>
    <w:rsid w:val="006A45FA"/>
    <w:rsid w:val="006A590F"/>
    <w:rsid w:val="006A66CD"/>
    <w:rsid w:val="006A72B5"/>
    <w:rsid w:val="006A74BB"/>
    <w:rsid w:val="006B007D"/>
    <w:rsid w:val="006B0E6D"/>
    <w:rsid w:val="006B0F01"/>
    <w:rsid w:val="006B1316"/>
    <w:rsid w:val="006B32ED"/>
    <w:rsid w:val="006B363E"/>
    <w:rsid w:val="006B4852"/>
    <w:rsid w:val="006B6764"/>
    <w:rsid w:val="006C11F3"/>
    <w:rsid w:val="006C1C5E"/>
    <w:rsid w:val="006C3548"/>
    <w:rsid w:val="006C3D3A"/>
    <w:rsid w:val="006C42C7"/>
    <w:rsid w:val="006C45B3"/>
    <w:rsid w:val="006C45CD"/>
    <w:rsid w:val="006C4934"/>
    <w:rsid w:val="006C4B21"/>
    <w:rsid w:val="006C4CEB"/>
    <w:rsid w:val="006C6115"/>
    <w:rsid w:val="006C67D0"/>
    <w:rsid w:val="006C6CBF"/>
    <w:rsid w:val="006D0F47"/>
    <w:rsid w:val="006D1DFA"/>
    <w:rsid w:val="006D24C0"/>
    <w:rsid w:val="006D26CF"/>
    <w:rsid w:val="006D27F9"/>
    <w:rsid w:val="006D2E8E"/>
    <w:rsid w:val="006D32D3"/>
    <w:rsid w:val="006D393C"/>
    <w:rsid w:val="006D3ADC"/>
    <w:rsid w:val="006D4386"/>
    <w:rsid w:val="006D44BC"/>
    <w:rsid w:val="006D49CB"/>
    <w:rsid w:val="006D4C23"/>
    <w:rsid w:val="006D5978"/>
    <w:rsid w:val="006D7784"/>
    <w:rsid w:val="006D7949"/>
    <w:rsid w:val="006E1FB9"/>
    <w:rsid w:val="006E3948"/>
    <w:rsid w:val="006E3B53"/>
    <w:rsid w:val="006E4C82"/>
    <w:rsid w:val="006E6851"/>
    <w:rsid w:val="006E69E0"/>
    <w:rsid w:val="006E6AAE"/>
    <w:rsid w:val="006E7AD8"/>
    <w:rsid w:val="006F2021"/>
    <w:rsid w:val="006F2666"/>
    <w:rsid w:val="006F314B"/>
    <w:rsid w:val="006F357E"/>
    <w:rsid w:val="006F48BC"/>
    <w:rsid w:val="006F5B3D"/>
    <w:rsid w:val="006F74A0"/>
    <w:rsid w:val="00700001"/>
    <w:rsid w:val="007007BE"/>
    <w:rsid w:val="0070118A"/>
    <w:rsid w:val="00701E36"/>
    <w:rsid w:val="0070799D"/>
    <w:rsid w:val="00707E8A"/>
    <w:rsid w:val="00710D2D"/>
    <w:rsid w:val="0071294C"/>
    <w:rsid w:val="00713ACD"/>
    <w:rsid w:val="00715577"/>
    <w:rsid w:val="00715876"/>
    <w:rsid w:val="007164E9"/>
    <w:rsid w:val="00717134"/>
    <w:rsid w:val="0071714F"/>
    <w:rsid w:val="00720446"/>
    <w:rsid w:val="00721DCC"/>
    <w:rsid w:val="00721E99"/>
    <w:rsid w:val="007230CC"/>
    <w:rsid w:val="00723680"/>
    <w:rsid w:val="00723B63"/>
    <w:rsid w:val="00726E15"/>
    <w:rsid w:val="00727F12"/>
    <w:rsid w:val="0073132D"/>
    <w:rsid w:val="00733116"/>
    <w:rsid w:val="0073389A"/>
    <w:rsid w:val="0073389C"/>
    <w:rsid w:val="00733A13"/>
    <w:rsid w:val="00734D98"/>
    <w:rsid w:val="00735CCC"/>
    <w:rsid w:val="007363AB"/>
    <w:rsid w:val="007363C8"/>
    <w:rsid w:val="007374CE"/>
    <w:rsid w:val="00741D5D"/>
    <w:rsid w:val="007423C8"/>
    <w:rsid w:val="007441DE"/>
    <w:rsid w:val="007449B6"/>
    <w:rsid w:val="00750A1D"/>
    <w:rsid w:val="00751B8B"/>
    <w:rsid w:val="00751EE9"/>
    <w:rsid w:val="00754EB8"/>
    <w:rsid w:val="00755361"/>
    <w:rsid w:val="00755E27"/>
    <w:rsid w:val="007576EC"/>
    <w:rsid w:val="00757C03"/>
    <w:rsid w:val="0076183F"/>
    <w:rsid w:val="007643C4"/>
    <w:rsid w:val="00765223"/>
    <w:rsid w:val="00765CC7"/>
    <w:rsid w:val="00766F8E"/>
    <w:rsid w:val="00772592"/>
    <w:rsid w:val="00772B35"/>
    <w:rsid w:val="00774088"/>
    <w:rsid w:val="007742A5"/>
    <w:rsid w:val="007742E7"/>
    <w:rsid w:val="007748CD"/>
    <w:rsid w:val="007764E9"/>
    <w:rsid w:val="00776603"/>
    <w:rsid w:val="00776B71"/>
    <w:rsid w:val="00777DFD"/>
    <w:rsid w:val="0078074F"/>
    <w:rsid w:val="00780795"/>
    <w:rsid w:val="007821C3"/>
    <w:rsid w:val="00782E75"/>
    <w:rsid w:val="007842F8"/>
    <w:rsid w:val="00784FAB"/>
    <w:rsid w:val="007861DF"/>
    <w:rsid w:val="0078672A"/>
    <w:rsid w:val="007871D0"/>
    <w:rsid w:val="00787805"/>
    <w:rsid w:val="00790D5D"/>
    <w:rsid w:val="007911F7"/>
    <w:rsid w:val="00793BC6"/>
    <w:rsid w:val="007975F7"/>
    <w:rsid w:val="00797E76"/>
    <w:rsid w:val="007A11E4"/>
    <w:rsid w:val="007A19BF"/>
    <w:rsid w:val="007A1EE0"/>
    <w:rsid w:val="007A26E0"/>
    <w:rsid w:val="007A4174"/>
    <w:rsid w:val="007A4380"/>
    <w:rsid w:val="007A625E"/>
    <w:rsid w:val="007A6E89"/>
    <w:rsid w:val="007B1FD4"/>
    <w:rsid w:val="007B2232"/>
    <w:rsid w:val="007B4DDA"/>
    <w:rsid w:val="007B58C2"/>
    <w:rsid w:val="007C0F34"/>
    <w:rsid w:val="007C1AC3"/>
    <w:rsid w:val="007C1D58"/>
    <w:rsid w:val="007C2CC3"/>
    <w:rsid w:val="007C2D5C"/>
    <w:rsid w:val="007C6127"/>
    <w:rsid w:val="007C61CF"/>
    <w:rsid w:val="007C7134"/>
    <w:rsid w:val="007C7F38"/>
    <w:rsid w:val="007D1576"/>
    <w:rsid w:val="007D248B"/>
    <w:rsid w:val="007D3454"/>
    <w:rsid w:val="007D39B6"/>
    <w:rsid w:val="007E06D1"/>
    <w:rsid w:val="007E32CD"/>
    <w:rsid w:val="007E3B91"/>
    <w:rsid w:val="007E42D4"/>
    <w:rsid w:val="007E4BE8"/>
    <w:rsid w:val="007E4FD4"/>
    <w:rsid w:val="007E5FD0"/>
    <w:rsid w:val="007E6657"/>
    <w:rsid w:val="007F0F0E"/>
    <w:rsid w:val="007F16D4"/>
    <w:rsid w:val="007F1B5C"/>
    <w:rsid w:val="007F1E3C"/>
    <w:rsid w:val="007F20EB"/>
    <w:rsid w:val="007F353D"/>
    <w:rsid w:val="007F3C50"/>
    <w:rsid w:val="008005FC"/>
    <w:rsid w:val="0080082E"/>
    <w:rsid w:val="00800849"/>
    <w:rsid w:val="0080250D"/>
    <w:rsid w:val="00803333"/>
    <w:rsid w:val="008050E6"/>
    <w:rsid w:val="008154B8"/>
    <w:rsid w:val="00816C65"/>
    <w:rsid w:val="00824EB0"/>
    <w:rsid w:val="008260AB"/>
    <w:rsid w:val="0083030E"/>
    <w:rsid w:val="00830940"/>
    <w:rsid w:val="00831125"/>
    <w:rsid w:val="0083378D"/>
    <w:rsid w:val="00833FE0"/>
    <w:rsid w:val="008344C9"/>
    <w:rsid w:val="00834EA9"/>
    <w:rsid w:val="00834EAD"/>
    <w:rsid w:val="008351FA"/>
    <w:rsid w:val="00835432"/>
    <w:rsid w:val="00835879"/>
    <w:rsid w:val="00835DC0"/>
    <w:rsid w:val="008368AA"/>
    <w:rsid w:val="00840EBC"/>
    <w:rsid w:val="0084219A"/>
    <w:rsid w:val="00842E56"/>
    <w:rsid w:val="008468D1"/>
    <w:rsid w:val="00847C34"/>
    <w:rsid w:val="00847E3C"/>
    <w:rsid w:val="008500F1"/>
    <w:rsid w:val="00850FCE"/>
    <w:rsid w:val="00851324"/>
    <w:rsid w:val="00852A9C"/>
    <w:rsid w:val="00853FAA"/>
    <w:rsid w:val="00855522"/>
    <w:rsid w:val="008557BB"/>
    <w:rsid w:val="00855A70"/>
    <w:rsid w:val="00855EAA"/>
    <w:rsid w:val="0085693F"/>
    <w:rsid w:val="00857D56"/>
    <w:rsid w:val="00857EF5"/>
    <w:rsid w:val="00861536"/>
    <w:rsid w:val="008619E4"/>
    <w:rsid w:val="00861B50"/>
    <w:rsid w:val="00865A4D"/>
    <w:rsid w:val="00866896"/>
    <w:rsid w:val="00866B8C"/>
    <w:rsid w:val="00866E77"/>
    <w:rsid w:val="00867A1D"/>
    <w:rsid w:val="008700AD"/>
    <w:rsid w:val="008701A1"/>
    <w:rsid w:val="00870F66"/>
    <w:rsid w:val="0087240C"/>
    <w:rsid w:val="00872C64"/>
    <w:rsid w:val="00872CEB"/>
    <w:rsid w:val="00872CEE"/>
    <w:rsid w:val="00872E8E"/>
    <w:rsid w:val="00872F5C"/>
    <w:rsid w:val="00875C23"/>
    <w:rsid w:val="00875CA9"/>
    <w:rsid w:val="00880356"/>
    <w:rsid w:val="00881552"/>
    <w:rsid w:val="00882342"/>
    <w:rsid w:val="00883758"/>
    <w:rsid w:val="00884B7C"/>
    <w:rsid w:val="008860E4"/>
    <w:rsid w:val="008935B0"/>
    <w:rsid w:val="008935D8"/>
    <w:rsid w:val="00894029"/>
    <w:rsid w:val="008941A6"/>
    <w:rsid w:val="0089498D"/>
    <w:rsid w:val="00896963"/>
    <w:rsid w:val="008A005E"/>
    <w:rsid w:val="008A0ADC"/>
    <w:rsid w:val="008A11DD"/>
    <w:rsid w:val="008A1D00"/>
    <w:rsid w:val="008A27C1"/>
    <w:rsid w:val="008A387C"/>
    <w:rsid w:val="008A3BE2"/>
    <w:rsid w:val="008A5109"/>
    <w:rsid w:val="008A56A7"/>
    <w:rsid w:val="008A5AB9"/>
    <w:rsid w:val="008A5F98"/>
    <w:rsid w:val="008A69FA"/>
    <w:rsid w:val="008B2D71"/>
    <w:rsid w:val="008B2F6C"/>
    <w:rsid w:val="008B3AFF"/>
    <w:rsid w:val="008B43CB"/>
    <w:rsid w:val="008B4691"/>
    <w:rsid w:val="008B5C84"/>
    <w:rsid w:val="008B65E6"/>
    <w:rsid w:val="008B70C4"/>
    <w:rsid w:val="008C05E4"/>
    <w:rsid w:val="008C0F56"/>
    <w:rsid w:val="008C105D"/>
    <w:rsid w:val="008C1544"/>
    <w:rsid w:val="008C1A3A"/>
    <w:rsid w:val="008C1F0D"/>
    <w:rsid w:val="008C2E27"/>
    <w:rsid w:val="008C37F0"/>
    <w:rsid w:val="008C558E"/>
    <w:rsid w:val="008C6419"/>
    <w:rsid w:val="008C6651"/>
    <w:rsid w:val="008C68CA"/>
    <w:rsid w:val="008C71A5"/>
    <w:rsid w:val="008D07BF"/>
    <w:rsid w:val="008D087D"/>
    <w:rsid w:val="008D0EA3"/>
    <w:rsid w:val="008D1A2C"/>
    <w:rsid w:val="008D2557"/>
    <w:rsid w:val="008D26B9"/>
    <w:rsid w:val="008D2CCA"/>
    <w:rsid w:val="008D3835"/>
    <w:rsid w:val="008D45CB"/>
    <w:rsid w:val="008D55D6"/>
    <w:rsid w:val="008D7B21"/>
    <w:rsid w:val="008E13A4"/>
    <w:rsid w:val="008E317C"/>
    <w:rsid w:val="008E3A92"/>
    <w:rsid w:val="008E4B91"/>
    <w:rsid w:val="008E5316"/>
    <w:rsid w:val="008E58C1"/>
    <w:rsid w:val="008E6541"/>
    <w:rsid w:val="008E659F"/>
    <w:rsid w:val="008F02FE"/>
    <w:rsid w:val="008F0944"/>
    <w:rsid w:val="008F1025"/>
    <w:rsid w:val="008F4B18"/>
    <w:rsid w:val="008F7800"/>
    <w:rsid w:val="00902D1F"/>
    <w:rsid w:val="009032B4"/>
    <w:rsid w:val="009052C5"/>
    <w:rsid w:val="009055A4"/>
    <w:rsid w:val="009101FD"/>
    <w:rsid w:val="00910609"/>
    <w:rsid w:val="00910631"/>
    <w:rsid w:val="00911522"/>
    <w:rsid w:val="00911A8A"/>
    <w:rsid w:val="0091273F"/>
    <w:rsid w:val="00914333"/>
    <w:rsid w:val="00914BED"/>
    <w:rsid w:val="009155D6"/>
    <w:rsid w:val="00916422"/>
    <w:rsid w:val="00917C08"/>
    <w:rsid w:val="00920890"/>
    <w:rsid w:val="00921104"/>
    <w:rsid w:val="00921187"/>
    <w:rsid w:val="009225EB"/>
    <w:rsid w:val="009228A5"/>
    <w:rsid w:val="00925996"/>
    <w:rsid w:val="00925EC1"/>
    <w:rsid w:val="00925EDB"/>
    <w:rsid w:val="00926484"/>
    <w:rsid w:val="00931733"/>
    <w:rsid w:val="0093307C"/>
    <w:rsid w:val="009347C0"/>
    <w:rsid w:val="00934873"/>
    <w:rsid w:val="009378FC"/>
    <w:rsid w:val="0094004C"/>
    <w:rsid w:val="0094161A"/>
    <w:rsid w:val="00941AC5"/>
    <w:rsid w:val="00941FAE"/>
    <w:rsid w:val="0094632A"/>
    <w:rsid w:val="00946CB9"/>
    <w:rsid w:val="009508B4"/>
    <w:rsid w:val="0095174C"/>
    <w:rsid w:val="0095182E"/>
    <w:rsid w:val="00951EC5"/>
    <w:rsid w:val="009576C3"/>
    <w:rsid w:val="009638F2"/>
    <w:rsid w:val="00964190"/>
    <w:rsid w:val="00965810"/>
    <w:rsid w:val="00966355"/>
    <w:rsid w:val="00967493"/>
    <w:rsid w:val="00967D9C"/>
    <w:rsid w:val="00971BD1"/>
    <w:rsid w:val="00971E71"/>
    <w:rsid w:val="00974069"/>
    <w:rsid w:val="00974DCF"/>
    <w:rsid w:val="00974F26"/>
    <w:rsid w:val="009753AF"/>
    <w:rsid w:val="0097706F"/>
    <w:rsid w:val="0097736F"/>
    <w:rsid w:val="009816E6"/>
    <w:rsid w:val="00983ED2"/>
    <w:rsid w:val="00985D57"/>
    <w:rsid w:val="00986544"/>
    <w:rsid w:val="009871B4"/>
    <w:rsid w:val="0099033C"/>
    <w:rsid w:val="00990799"/>
    <w:rsid w:val="00992627"/>
    <w:rsid w:val="00994643"/>
    <w:rsid w:val="00994D0B"/>
    <w:rsid w:val="009963F1"/>
    <w:rsid w:val="00996A40"/>
    <w:rsid w:val="009976A6"/>
    <w:rsid w:val="00997778"/>
    <w:rsid w:val="009979C7"/>
    <w:rsid w:val="00997B33"/>
    <w:rsid w:val="009A1E72"/>
    <w:rsid w:val="009A2677"/>
    <w:rsid w:val="009A4E7A"/>
    <w:rsid w:val="009A4F8C"/>
    <w:rsid w:val="009B1125"/>
    <w:rsid w:val="009B1E84"/>
    <w:rsid w:val="009B24E1"/>
    <w:rsid w:val="009B3026"/>
    <w:rsid w:val="009B3608"/>
    <w:rsid w:val="009B3912"/>
    <w:rsid w:val="009B5177"/>
    <w:rsid w:val="009B52B6"/>
    <w:rsid w:val="009B5507"/>
    <w:rsid w:val="009B5C91"/>
    <w:rsid w:val="009B6286"/>
    <w:rsid w:val="009B6681"/>
    <w:rsid w:val="009B72A2"/>
    <w:rsid w:val="009B7C97"/>
    <w:rsid w:val="009C0522"/>
    <w:rsid w:val="009C0AE9"/>
    <w:rsid w:val="009C351B"/>
    <w:rsid w:val="009C35FD"/>
    <w:rsid w:val="009C763E"/>
    <w:rsid w:val="009D0C49"/>
    <w:rsid w:val="009D2B28"/>
    <w:rsid w:val="009D38C2"/>
    <w:rsid w:val="009D3EC2"/>
    <w:rsid w:val="009D4ECE"/>
    <w:rsid w:val="009D5626"/>
    <w:rsid w:val="009D5AF4"/>
    <w:rsid w:val="009D6978"/>
    <w:rsid w:val="009D6C04"/>
    <w:rsid w:val="009D7C4C"/>
    <w:rsid w:val="009E1D8C"/>
    <w:rsid w:val="009E3C9D"/>
    <w:rsid w:val="009E3DF2"/>
    <w:rsid w:val="009E494F"/>
    <w:rsid w:val="009E7FEB"/>
    <w:rsid w:val="009F17A4"/>
    <w:rsid w:val="009F382C"/>
    <w:rsid w:val="009F53F6"/>
    <w:rsid w:val="009F645F"/>
    <w:rsid w:val="009F68DC"/>
    <w:rsid w:val="009F6B36"/>
    <w:rsid w:val="009F790A"/>
    <w:rsid w:val="00A01ADF"/>
    <w:rsid w:val="00A022F9"/>
    <w:rsid w:val="00A0245D"/>
    <w:rsid w:val="00A04BF1"/>
    <w:rsid w:val="00A05078"/>
    <w:rsid w:val="00A06851"/>
    <w:rsid w:val="00A06A44"/>
    <w:rsid w:val="00A07723"/>
    <w:rsid w:val="00A12F4F"/>
    <w:rsid w:val="00A13230"/>
    <w:rsid w:val="00A13402"/>
    <w:rsid w:val="00A13623"/>
    <w:rsid w:val="00A1612B"/>
    <w:rsid w:val="00A16D58"/>
    <w:rsid w:val="00A16E89"/>
    <w:rsid w:val="00A20EAB"/>
    <w:rsid w:val="00A21454"/>
    <w:rsid w:val="00A21B2D"/>
    <w:rsid w:val="00A22A60"/>
    <w:rsid w:val="00A22F90"/>
    <w:rsid w:val="00A23778"/>
    <w:rsid w:val="00A27450"/>
    <w:rsid w:val="00A27A11"/>
    <w:rsid w:val="00A3082A"/>
    <w:rsid w:val="00A31AD7"/>
    <w:rsid w:val="00A320E0"/>
    <w:rsid w:val="00A32912"/>
    <w:rsid w:val="00A3401E"/>
    <w:rsid w:val="00A34217"/>
    <w:rsid w:val="00A34A3E"/>
    <w:rsid w:val="00A34A8D"/>
    <w:rsid w:val="00A35145"/>
    <w:rsid w:val="00A35BC1"/>
    <w:rsid w:val="00A35E8F"/>
    <w:rsid w:val="00A402DA"/>
    <w:rsid w:val="00A4064A"/>
    <w:rsid w:val="00A41798"/>
    <w:rsid w:val="00A42BBD"/>
    <w:rsid w:val="00A441B6"/>
    <w:rsid w:val="00A44F31"/>
    <w:rsid w:val="00A45984"/>
    <w:rsid w:val="00A45AE4"/>
    <w:rsid w:val="00A46227"/>
    <w:rsid w:val="00A501A7"/>
    <w:rsid w:val="00A51431"/>
    <w:rsid w:val="00A52D37"/>
    <w:rsid w:val="00A52F49"/>
    <w:rsid w:val="00A53D2C"/>
    <w:rsid w:val="00A55CEC"/>
    <w:rsid w:val="00A62283"/>
    <w:rsid w:val="00A623CD"/>
    <w:rsid w:val="00A6256A"/>
    <w:rsid w:val="00A627A6"/>
    <w:rsid w:val="00A628CC"/>
    <w:rsid w:val="00A62B84"/>
    <w:rsid w:val="00A62F3C"/>
    <w:rsid w:val="00A631B7"/>
    <w:rsid w:val="00A64559"/>
    <w:rsid w:val="00A64EF3"/>
    <w:rsid w:val="00A675CE"/>
    <w:rsid w:val="00A67D01"/>
    <w:rsid w:val="00A71391"/>
    <w:rsid w:val="00A72B86"/>
    <w:rsid w:val="00A73541"/>
    <w:rsid w:val="00A76335"/>
    <w:rsid w:val="00A7696A"/>
    <w:rsid w:val="00A77AFA"/>
    <w:rsid w:val="00A77F47"/>
    <w:rsid w:val="00A801AF"/>
    <w:rsid w:val="00A8026D"/>
    <w:rsid w:val="00A81256"/>
    <w:rsid w:val="00A813EC"/>
    <w:rsid w:val="00A822A2"/>
    <w:rsid w:val="00A834FA"/>
    <w:rsid w:val="00A8605D"/>
    <w:rsid w:val="00A86086"/>
    <w:rsid w:val="00A860D1"/>
    <w:rsid w:val="00A900A1"/>
    <w:rsid w:val="00A919EA"/>
    <w:rsid w:val="00A924F9"/>
    <w:rsid w:val="00A92F7E"/>
    <w:rsid w:val="00A92FEE"/>
    <w:rsid w:val="00A96C87"/>
    <w:rsid w:val="00A979BF"/>
    <w:rsid w:val="00AA177E"/>
    <w:rsid w:val="00AA2786"/>
    <w:rsid w:val="00AA3B05"/>
    <w:rsid w:val="00AA4F36"/>
    <w:rsid w:val="00AA6617"/>
    <w:rsid w:val="00AA6B90"/>
    <w:rsid w:val="00AA6D98"/>
    <w:rsid w:val="00AB2CF4"/>
    <w:rsid w:val="00AB333C"/>
    <w:rsid w:val="00AB4A92"/>
    <w:rsid w:val="00AB605F"/>
    <w:rsid w:val="00AB79F6"/>
    <w:rsid w:val="00AB7A45"/>
    <w:rsid w:val="00AC3E0C"/>
    <w:rsid w:val="00AC4213"/>
    <w:rsid w:val="00AC5AA0"/>
    <w:rsid w:val="00AD0264"/>
    <w:rsid w:val="00AD0A8D"/>
    <w:rsid w:val="00AD0AAA"/>
    <w:rsid w:val="00AD0DCC"/>
    <w:rsid w:val="00AD2406"/>
    <w:rsid w:val="00AD3932"/>
    <w:rsid w:val="00AD68DD"/>
    <w:rsid w:val="00AD690A"/>
    <w:rsid w:val="00AD7364"/>
    <w:rsid w:val="00AE05E3"/>
    <w:rsid w:val="00AE27B1"/>
    <w:rsid w:val="00AE34A9"/>
    <w:rsid w:val="00AE3EB8"/>
    <w:rsid w:val="00AE5990"/>
    <w:rsid w:val="00AE59D9"/>
    <w:rsid w:val="00AE70A2"/>
    <w:rsid w:val="00AE7377"/>
    <w:rsid w:val="00AE7855"/>
    <w:rsid w:val="00AF002D"/>
    <w:rsid w:val="00AF038B"/>
    <w:rsid w:val="00AF059B"/>
    <w:rsid w:val="00AF18A9"/>
    <w:rsid w:val="00AF235A"/>
    <w:rsid w:val="00AF5859"/>
    <w:rsid w:val="00AF5F73"/>
    <w:rsid w:val="00AF6659"/>
    <w:rsid w:val="00AF69CF"/>
    <w:rsid w:val="00AF71FD"/>
    <w:rsid w:val="00AF7273"/>
    <w:rsid w:val="00B000F2"/>
    <w:rsid w:val="00B038EF"/>
    <w:rsid w:val="00B0430D"/>
    <w:rsid w:val="00B04598"/>
    <w:rsid w:val="00B0526B"/>
    <w:rsid w:val="00B05EE3"/>
    <w:rsid w:val="00B06936"/>
    <w:rsid w:val="00B10238"/>
    <w:rsid w:val="00B12118"/>
    <w:rsid w:val="00B126F7"/>
    <w:rsid w:val="00B17EF6"/>
    <w:rsid w:val="00B200EE"/>
    <w:rsid w:val="00B20C83"/>
    <w:rsid w:val="00B2195F"/>
    <w:rsid w:val="00B227C9"/>
    <w:rsid w:val="00B22FF9"/>
    <w:rsid w:val="00B23A4B"/>
    <w:rsid w:val="00B266DB"/>
    <w:rsid w:val="00B26F85"/>
    <w:rsid w:val="00B27798"/>
    <w:rsid w:val="00B30FE5"/>
    <w:rsid w:val="00B32A94"/>
    <w:rsid w:val="00B36494"/>
    <w:rsid w:val="00B37775"/>
    <w:rsid w:val="00B378F8"/>
    <w:rsid w:val="00B4281B"/>
    <w:rsid w:val="00B44330"/>
    <w:rsid w:val="00B44468"/>
    <w:rsid w:val="00B4497C"/>
    <w:rsid w:val="00B50013"/>
    <w:rsid w:val="00B50FB1"/>
    <w:rsid w:val="00B52666"/>
    <w:rsid w:val="00B537EF"/>
    <w:rsid w:val="00B53A46"/>
    <w:rsid w:val="00B54A1E"/>
    <w:rsid w:val="00B54CB9"/>
    <w:rsid w:val="00B55074"/>
    <w:rsid w:val="00B611B5"/>
    <w:rsid w:val="00B61DB5"/>
    <w:rsid w:val="00B61FA1"/>
    <w:rsid w:val="00B624CD"/>
    <w:rsid w:val="00B6352A"/>
    <w:rsid w:val="00B64561"/>
    <w:rsid w:val="00B64CB4"/>
    <w:rsid w:val="00B64E46"/>
    <w:rsid w:val="00B71D84"/>
    <w:rsid w:val="00B71F37"/>
    <w:rsid w:val="00B73741"/>
    <w:rsid w:val="00B7431F"/>
    <w:rsid w:val="00B74E29"/>
    <w:rsid w:val="00B750F6"/>
    <w:rsid w:val="00B759FD"/>
    <w:rsid w:val="00B75E4B"/>
    <w:rsid w:val="00B77F9F"/>
    <w:rsid w:val="00B81A9C"/>
    <w:rsid w:val="00B82083"/>
    <w:rsid w:val="00B82D85"/>
    <w:rsid w:val="00B85CD9"/>
    <w:rsid w:val="00B86D55"/>
    <w:rsid w:val="00B86E23"/>
    <w:rsid w:val="00B91DB5"/>
    <w:rsid w:val="00B92133"/>
    <w:rsid w:val="00B92332"/>
    <w:rsid w:val="00B92C22"/>
    <w:rsid w:val="00B93294"/>
    <w:rsid w:val="00B95002"/>
    <w:rsid w:val="00B968E7"/>
    <w:rsid w:val="00B9764D"/>
    <w:rsid w:val="00BA230B"/>
    <w:rsid w:val="00BA36A5"/>
    <w:rsid w:val="00BA4050"/>
    <w:rsid w:val="00BA5F01"/>
    <w:rsid w:val="00BA5FD6"/>
    <w:rsid w:val="00BA6456"/>
    <w:rsid w:val="00BA6D86"/>
    <w:rsid w:val="00BB0047"/>
    <w:rsid w:val="00BB1814"/>
    <w:rsid w:val="00BB2E4B"/>
    <w:rsid w:val="00BB442B"/>
    <w:rsid w:val="00BB45C2"/>
    <w:rsid w:val="00BB5C25"/>
    <w:rsid w:val="00BB5E17"/>
    <w:rsid w:val="00BB6634"/>
    <w:rsid w:val="00BB6CDF"/>
    <w:rsid w:val="00BC0146"/>
    <w:rsid w:val="00BC074A"/>
    <w:rsid w:val="00BC0A76"/>
    <w:rsid w:val="00BC1423"/>
    <w:rsid w:val="00BC4831"/>
    <w:rsid w:val="00BC7AA7"/>
    <w:rsid w:val="00BC7FEC"/>
    <w:rsid w:val="00BD055E"/>
    <w:rsid w:val="00BD0CED"/>
    <w:rsid w:val="00BD12F1"/>
    <w:rsid w:val="00BD1C26"/>
    <w:rsid w:val="00BD5BC7"/>
    <w:rsid w:val="00BD6E4F"/>
    <w:rsid w:val="00BE04D7"/>
    <w:rsid w:val="00BE28CB"/>
    <w:rsid w:val="00BE492F"/>
    <w:rsid w:val="00BE5818"/>
    <w:rsid w:val="00BE5DC6"/>
    <w:rsid w:val="00BE791D"/>
    <w:rsid w:val="00BE7D07"/>
    <w:rsid w:val="00BE7F03"/>
    <w:rsid w:val="00BF09E9"/>
    <w:rsid w:val="00BF477B"/>
    <w:rsid w:val="00BF60CE"/>
    <w:rsid w:val="00BF6C61"/>
    <w:rsid w:val="00BF6E33"/>
    <w:rsid w:val="00BF72BB"/>
    <w:rsid w:val="00BF7529"/>
    <w:rsid w:val="00BF7A70"/>
    <w:rsid w:val="00C005D9"/>
    <w:rsid w:val="00C046DC"/>
    <w:rsid w:val="00C04722"/>
    <w:rsid w:val="00C04E33"/>
    <w:rsid w:val="00C0573E"/>
    <w:rsid w:val="00C063B9"/>
    <w:rsid w:val="00C06E96"/>
    <w:rsid w:val="00C10364"/>
    <w:rsid w:val="00C1063B"/>
    <w:rsid w:val="00C1089A"/>
    <w:rsid w:val="00C10B0D"/>
    <w:rsid w:val="00C1130C"/>
    <w:rsid w:val="00C137C7"/>
    <w:rsid w:val="00C14CE0"/>
    <w:rsid w:val="00C16DF0"/>
    <w:rsid w:val="00C17828"/>
    <w:rsid w:val="00C20ABB"/>
    <w:rsid w:val="00C21890"/>
    <w:rsid w:val="00C22A37"/>
    <w:rsid w:val="00C22C2B"/>
    <w:rsid w:val="00C22E6C"/>
    <w:rsid w:val="00C23364"/>
    <w:rsid w:val="00C23899"/>
    <w:rsid w:val="00C24053"/>
    <w:rsid w:val="00C24665"/>
    <w:rsid w:val="00C254A0"/>
    <w:rsid w:val="00C27305"/>
    <w:rsid w:val="00C27A78"/>
    <w:rsid w:val="00C27C16"/>
    <w:rsid w:val="00C31077"/>
    <w:rsid w:val="00C32CDA"/>
    <w:rsid w:val="00C33D31"/>
    <w:rsid w:val="00C35088"/>
    <w:rsid w:val="00C35269"/>
    <w:rsid w:val="00C35E45"/>
    <w:rsid w:val="00C35F10"/>
    <w:rsid w:val="00C363BE"/>
    <w:rsid w:val="00C36E85"/>
    <w:rsid w:val="00C375D4"/>
    <w:rsid w:val="00C379AC"/>
    <w:rsid w:val="00C42283"/>
    <w:rsid w:val="00C42B8E"/>
    <w:rsid w:val="00C42CF3"/>
    <w:rsid w:val="00C443A8"/>
    <w:rsid w:val="00C4597D"/>
    <w:rsid w:val="00C4639B"/>
    <w:rsid w:val="00C470EC"/>
    <w:rsid w:val="00C479C9"/>
    <w:rsid w:val="00C47FDE"/>
    <w:rsid w:val="00C503A3"/>
    <w:rsid w:val="00C50BE0"/>
    <w:rsid w:val="00C52F7D"/>
    <w:rsid w:val="00C53803"/>
    <w:rsid w:val="00C5432B"/>
    <w:rsid w:val="00C54FDB"/>
    <w:rsid w:val="00C567E7"/>
    <w:rsid w:val="00C56BA2"/>
    <w:rsid w:val="00C5740E"/>
    <w:rsid w:val="00C60870"/>
    <w:rsid w:val="00C61E20"/>
    <w:rsid w:val="00C61E66"/>
    <w:rsid w:val="00C63692"/>
    <w:rsid w:val="00C636DA"/>
    <w:rsid w:val="00C63AAC"/>
    <w:rsid w:val="00C64DEA"/>
    <w:rsid w:val="00C64E38"/>
    <w:rsid w:val="00C65DC2"/>
    <w:rsid w:val="00C66713"/>
    <w:rsid w:val="00C671F4"/>
    <w:rsid w:val="00C67857"/>
    <w:rsid w:val="00C70223"/>
    <w:rsid w:val="00C709A4"/>
    <w:rsid w:val="00C71882"/>
    <w:rsid w:val="00C71AA0"/>
    <w:rsid w:val="00C72FFB"/>
    <w:rsid w:val="00C7329F"/>
    <w:rsid w:val="00C733DB"/>
    <w:rsid w:val="00C735F7"/>
    <w:rsid w:val="00C73C44"/>
    <w:rsid w:val="00C743F3"/>
    <w:rsid w:val="00C74E7F"/>
    <w:rsid w:val="00C76FEC"/>
    <w:rsid w:val="00C77FEC"/>
    <w:rsid w:val="00C8120C"/>
    <w:rsid w:val="00C824AF"/>
    <w:rsid w:val="00C82CBF"/>
    <w:rsid w:val="00C83833"/>
    <w:rsid w:val="00C85C2F"/>
    <w:rsid w:val="00C9155D"/>
    <w:rsid w:val="00C916F5"/>
    <w:rsid w:val="00C9328A"/>
    <w:rsid w:val="00C93F97"/>
    <w:rsid w:val="00C93FAB"/>
    <w:rsid w:val="00C94C4F"/>
    <w:rsid w:val="00C9575F"/>
    <w:rsid w:val="00C973ED"/>
    <w:rsid w:val="00C976AA"/>
    <w:rsid w:val="00CA0D41"/>
    <w:rsid w:val="00CA0F52"/>
    <w:rsid w:val="00CA1BBF"/>
    <w:rsid w:val="00CA2A9C"/>
    <w:rsid w:val="00CA31ED"/>
    <w:rsid w:val="00CA32A2"/>
    <w:rsid w:val="00CA4D1A"/>
    <w:rsid w:val="00CA5822"/>
    <w:rsid w:val="00CA5F3F"/>
    <w:rsid w:val="00CA65D4"/>
    <w:rsid w:val="00CB017D"/>
    <w:rsid w:val="00CB0E15"/>
    <w:rsid w:val="00CB121B"/>
    <w:rsid w:val="00CB1531"/>
    <w:rsid w:val="00CB304E"/>
    <w:rsid w:val="00CB42FF"/>
    <w:rsid w:val="00CB4536"/>
    <w:rsid w:val="00CB4AB2"/>
    <w:rsid w:val="00CB4BF1"/>
    <w:rsid w:val="00CB6C5E"/>
    <w:rsid w:val="00CB7050"/>
    <w:rsid w:val="00CB746B"/>
    <w:rsid w:val="00CC1118"/>
    <w:rsid w:val="00CC23E9"/>
    <w:rsid w:val="00CC3A14"/>
    <w:rsid w:val="00CC3E31"/>
    <w:rsid w:val="00CC506A"/>
    <w:rsid w:val="00CC54AC"/>
    <w:rsid w:val="00CC555C"/>
    <w:rsid w:val="00CC6D00"/>
    <w:rsid w:val="00CC6DA3"/>
    <w:rsid w:val="00CC6E0F"/>
    <w:rsid w:val="00CC7FE0"/>
    <w:rsid w:val="00CD04A3"/>
    <w:rsid w:val="00CD10CC"/>
    <w:rsid w:val="00CD31A1"/>
    <w:rsid w:val="00CD3605"/>
    <w:rsid w:val="00CD385D"/>
    <w:rsid w:val="00CD442B"/>
    <w:rsid w:val="00CD448B"/>
    <w:rsid w:val="00CD4E63"/>
    <w:rsid w:val="00CD5629"/>
    <w:rsid w:val="00CD7337"/>
    <w:rsid w:val="00CD782B"/>
    <w:rsid w:val="00CD79E8"/>
    <w:rsid w:val="00CD7A97"/>
    <w:rsid w:val="00CD7C61"/>
    <w:rsid w:val="00CE03E8"/>
    <w:rsid w:val="00CE27B2"/>
    <w:rsid w:val="00CE28BE"/>
    <w:rsid w:val="00CE3384"/>
    <w:rsid w:val="00CE3B41"/>
    <w:rsid w:val="00CE3FD3"/>
    <w:rsid w:val="00CE42FE"/>
    <w:rsid w:val="00CE4368"/>
    <w:rsid w:val="00CE52FF"/>
    <w:rsid w:val="00CE5BF5"/>
    <w:rsid w:val="00CE5CC3"/>
    <w:rsid w:val="00CE62C2"/>
    <w:rsid w:val="00CE6599"/>
    <w:rsid w:val="00CE6B2C"/>
    <w:rsid w:val="00CE6CB8"/>
    <w:rsid w:val="00CE6D0A"/>
    <w:rsid w:val="00CE70D8"/>
    <w:rsid w:val="00CE7267"/>
    <w:rsid w:val="00CF1712"/>
    <w:rsid w:val="00CF1ADA"/>
    <w:rsid w:val="00CF6D5D"/>
    <w:rsid w:val="00CF7FE1"/>
    <w:rsid w:val="00D003C5"/>
    <w:rsid w:val="00D00E0C"/>
    <w:rsid w:val="00D013E5"/>
    <w:rsid w:val="00D04901"/>
    <w:rsid w:val="00D0650B"/>
    <w:rsid w:val="00D06DCF"/>
    <w:rsid w:val="00D0716D"/>
    <w:rsid w:val="00D07844"/>
    <w:rsid w:val="00D07EFF"/>
    <w:rsid w:val="00D105D3"/>
    <w:rsid w:val="00D1086B"/>
    <w:rsid w:val="00D1086F"/>
    <w:rsid w:val="00D11B1B"/>
    <w:rsid w:val="00D11CB9"/>
    <w:rsid w:val="00D11F23"/>
    <w:rsid w:val="00D12E1C"/>
    <w:rsid w:val="00D1361A"/>
    <w:rsid w:val="00D14AF3"/>
    <w:rsid w:val="00D15BC4"/>
    <w:rsid w:val="00D15C6C"/>
    <w:rsid w:val="00D17BCC"/>
    <w:rsid w:val="00D20029"/>
    <w:rsid w:val="00D20B56"/>
    <w:rsid w:val="00D2114A"/>
    <w:rsid w:val="00D235F2"/>
    <w:rsid w:val="00D23682"/>
    <w:rsid w:val="00D253F0"/>
    <w:rsid w:val="00D25446"/>
    <w:rsid w:val="00D25D28"/>
    <w:rsid w:val="00D25D8C"/>
    <w:rsid w:val="00D31D18"/>
    <w:rsid w:val="00D31DA2"/>
    <w:rsid w:val="00D31FAE"/>
    <w:rsid w:val="00D32518"/>
    <w:rsid w:val="00D32F71"/>
    <w:rsid w:val="00D3349B"/>
    <w:rsid w:val="00D33FD5"/>
    <w:rsid w:val="00D3436F"/>
    <w:rsid w:val="00D4148E"/>
    <w:rsid w:val="00D421B2"/>
    <w:rsid w:val="00D421B4"/>
    <w:rsid w:val="00D43E8F"/>
    <w:rsid w:val="00D4425C"/>
    <w:rsid w:val="00D4477B"/>
    <w:rsid w:val="00D456E6"/>
    <w:rsid w:val="00D4610B"/>
    <w:rsid w:val="00D46CBC"/>
    <w:rsid w:val="00D47FA9"/>
    <w:rsid w:val="00D51886"/>
    <w:rsid w:val="00D540BA"/>
    <w:rsid w:val="00D55ACA"/>
    <w:rsid w:val="00D56966"/>
    <w:rsid w:val="00D62C5A"/>
    <w:rsid w:val="00D62DD7"/>
    <w:rsid w:val="00D631E4"/>
    <w:rsid w:val="00D6332F"/>
    <w:rsid w:val="00D647BE"/>
    <w:rsid w:val="00D652ED"/>
    <w:rsid w:val="00D657B9"/>
    <w:rsid w:val="00D67FBF"/>
    <w:rsid w:val="00D7111A"/>
    <w:rsid w:val="00D723C1"/>
    <w:rsid w:val="00D72542"/>
    <w:rsid w:val="00D73694"/>
    <w:rsid w:val="00D73D1E"/>
    <w:rsid w:val="00D7693D"/>
    <w:rsid w:val="00D77B56"/>
    <w:rsid w:val="00D77D2D"/>
    <w:rsid w:val="00D811D7"/>
    <w:rsid w:val="00D81527"/>
    <w:rsid w:val="00D82EC0"/>
    <w:rsid w:val="00D82EF5"/>
    <w:rsid w:val="00D8311C"/>
    <w:rsid w:val="00D83662"/>
    <w:rsid w:val="00D83F64"/>
    <w:rsid w:val="00D84EAC"/>
    <w:rsid w:val="00D90518"/>
    <w:rsid w:val="00D90DE2"/>
    <w:rsid w:val="00D91AD9"/>
    <w:rsid w:val="00D91F4A"/>
    <w:rsid w:val="00D9238F"/>
    <w:rsid w:val="00D924F6"/>
    <w:rsid w:val="00D93DF0"/>
    <w:rsid w:val="00D94247"/>
    <w:rsid w:val="00D94791"/>
    <w:rsid w:val="00D95236"/>
    <w:rsid w:val="00D96B73"/>
    <w:rsid w:val="00D9768D"/>
    <w:rsid w:val="00DA121A"/>
    <w:rsid w:val="00DA1A19"/>
    <w:rsid w:val="00DA2FF3"/>
    <w:rsid w:val="00DA30E2"/>
    <w:rsid w:val="00DA3801"/>
    <w:rsid w:val="00DA3E18"/>
    <w:rsid w:val="00DA415D"/>
    <w:rsid w:val="00DA4E4A"/>
    <w:rsid w:val="00DA5384"/>
    <w:rsid w:val="00DA6199"/>
    <w:rsid w:val="00DA61C1"/>
    <w:rsid w:val="00DA62CB"/>
    <w:rsid w:val="00DA6430"/>
    <w:rsid w:val="00DA6C78"/>
    <w:rsid w:val="00DA7CCC"/>
    <w:rsid w:val="00DB200D"/>
    <w:rsid w:val="00DB3050"/>
    <w:rsid w:val="00DB3431"/>
    <w:rsid w:val="00DB358D"/>
    <w:rsid w:val="00DB45C4"/>
    <w:rsid w:val="00DB589F"/>
    <w:rsid w:val="00DB62A3"/>
    <w:rsid w:val="00DC0A90"/>
    <w:rsid w:val="00DC26F3"/>
    <w:rsid w:val="00DC34D0"/>
    <w:rsid w:val="00DC55A8"/>
    <w:rsid w:val="00DC56F7"/>
    <w:rsid w:val="00DC626C"/>
    <w:rsid w:val="00DC690A"/>
    <w:rsid w:val="00DC6CCB"/>
    <w:rsid w:val="00DC71A6"/>
    <w:rsid w:val="00DC7D20"/>
    <w:rsid w:val="00DD2066"/>
    <w:rsid w:val="00DD4198"/>
    <w:rsid w:val="00DD5733"/>
    <w:rsid w:val="00DD5DEC"/>
    <w:rsid w:val="00DD5FC8"/>
    <w:rsid w:val="00DD794B"/>
    <w:rsid w:val="00DE1B91"/>
    <w:rsid w:val="00DE2B6F"/>
    <w:rsid w:val="00DE3002"/>
    <w:rsid w:val="00DE316B"/>
    <w:rsid w:val="00DE410E"/>
    <w:rsid w:val="00DE4555"/>
    <w:rsid w:val="00DE4902"/>
    <w:rsid w:val="00DE4B00"/>
    <w:rsid w:val="00DE5BF2"/>
    <w:rsid w:val="00DE7009"/>
    <w:rsid w:val="00DF09DC"/>
    <w:rsid w:val="00DF1ED3"/>
    <w:rsid w:val="00DF26C2"/>
    <w:rsid w:val="00DF4FEB"/>
    <w:rsid w:val="00DF6D17"/>
    <w:rsid w:val="00DF7CB2"/>
    <w:rsid w:val="00E024DF"/>
    <w:rsid w:val="00E04116"/>
    <w:rsid w:val="00E04619"/>
    <w:rsid w:val="00E057FC"/>
    <w:rsid w:val="00E07F94"/>
    <w:rsid w:val="00E1000E"/>
    <w:rsid w:val="00E10F3A"/>
    <w:rsid w:val="00E119E1"/>
    <w:rsid w:val="00E1208D"/>
    <w:rsid w:val="00E12E94"/>
    <w:rsid w:val="00E12F04"/>
    <w:rsid w:val="00E13790"/>
    <w:rsid w:val="00E1547F"/>
    <w:rsid w:val="00E16A0C"/>
    <w:rsid w:val="00E17482"/>
    <w:rsid w:val="00E2041B"/>
    <w:rsid w:val="00E205BE"/>
    <w:rsid w:val="00E21E85"/>
    <w:rsid w:val="00E24089"/>
    <w:rsid w:val="00E2418A"/>
    <w:rsid w:val="00E263CE"/>
    <w:rsid w:val="00E27F83"/>
    <w:rsid w:val="00E309EC"/>
    <w:rsid w:val="00E319DD"/>
    <w:rsid w:val="00E33C0F"/>
    <w:rsid w:val="00E33E8D"/>
    <w:rsid w:val="00E3479F"/>
    <w:rsid w:val="00E350E7"/>
    <w:rsid w:val="00E36B16"/>
    <w:rsid w:val="00E37725"/>
    <w:rsid w:val="00E4056E"/>
    <w:rsid w:val="00E40B73"/>
    <w:rsid w:val="00E40B75"/>
    <w:rsid w:val="00E41C80"/>
    <w:rsid w:val="00E422B3"/>
    <w:rsid w:val="00E432DD"/>
    <w:rsid w:val="00E43963"/>
    <w:rsid w:val="00E456BA"/>
    <w:rsid w:val="00E45B42"/>
    <w:rsid w:val="00E46C39"/>
    <w:rsid w:val="00E50F64"/>
    <w:rsid w:val="00E535AB"/>
    <w:rsid w:val="00E547F2"/>
    <w:rsid w:val="00E54835"/>
    <w:rsid w:val="00E552E6"/>
    <w:rsid w:val="00E55EFA"/>
    <w:rsid w:val="00E569CD"/>
    <w:rsid w:val="00E6009E"/>
    <w:rsid w:val="00E6150F"/>
    <w:rsid w:val="00E62880"/>
    <w:rsid w:val="00E62930"/>
    <w:rsid w:val="00E63B3E"/>
    <w:rsid w:val="00E64197"/>
    <w:rsid w:val="00E6471F"/>
    <w:rsid w:val="00E65F15"/>
    <w:rsid w:val="00E65F94"/>
    <w:rsid w:val="00E66838"/>
    <w:rsid w:val="00E67F62"/>
    <w:rsid w:val="00E701B0"/>
    <w:rsid w:val="00E730CB"/>
    <w:rsid w:val="00E74337"/>
    <w:rsid w:val="00E758C0"/>
    <w:rsid w:val="00E75D7C"/>
    <w:rsid w:val="00E75ED5"/>
    <w:rsid w:val="00E771E8"/>
    <w:rsid w:val="00E77FA5"/>
    <w:rsid w:val="00E82449"/>
    <w:rsid w:val="00E82484"/>
    <w:rsid w:val="00E84BC5"/>
    <w:rsid w:val="00E85A49"/>
    <w:rsid w:val="00E85C7E"/>
    <w:rsid w:val="00E87D94"/>
    <w:rsid w:val="00E91A40"/>
    <w:rsid w:val="00E932D2"/>
    <w:rsid w:val="00E93725"/>
    <w:rsid w:val="00E93A1C"/>
    <w:rsid w:val="00E940B5"/>
    <w:rsid w:val="00E94F48"/>
    <w:rsid w:val="00E95A1E"/>
    <w:rsid w:val="00E971D3"/>
    <w:rsid w:val="00EA0620"/>
    <w:rsid w:val="00EA1DA3"/>
    <w:rsid w:val="00EA23C9"/>
    <w:rsid w:val="00EA3F66"/>
    <w:rsid w:val="00EA4DE8"/>
    <w:rsid w:val="00EA6802"/>
    <w:rsid w:val="00EB0CF7"/>
    <w:rsid w:val="00EB118B"/>
    <w:rsid w:val="00EB1E47"/>
    <w:rsid w:val="00EB3691"/>
    <w:rsid w:val="00EB45BA"/>
    <w:rsid w:val="00EB503D"/>
    <w:rsid w:val="00EB5583"/>
    <w:rsid w:val="00EB67E4"/>
    <w:rsid w:val="00EB7221"/>
    <w:rsid w:val="00EB7E7C"/>
    <w:rsid w:val="00EC042C"/>
    <w:rsid w:val="00EC1285"/>
    <w:rsid w:val="00EC2835"/>
    <w:rsid w:val="00EC3C86"/>
    <w:rsid w:val="00EC46F6"/>
    <w:rsid w:val="00EC74BE"/>
    <w:rsid w:val="00ED088F"/>
    <w:rsid w:val="00ED0B87"/>
    <w:rsid w:val="00ED3868"/>
    <w:rsid w:val="00ED3B8B"/>
    <w:rsid w:val="00ED3CA3"/>
    <w:rsid w:val="00ED4440"/>
    <w:rsid w:val="00ED5827"/>
    <w:rsid w:val="00ED64C3"/>
    <w:rsid w:val="00ED6702"/>
    <w:rsid w:val="00ED6FA4"/>
    <w:rsid w:val="00ED7DAF"/>
    <w:rsid w:val="00EE03D2"/>
    <w:rsid w:val="00EE0401"/>
    <w:rsid w:val="00EE04F1"/>
    <w:rsid w:val="00EE2172"/>
    <w:rsid w:val="00EE25F8"/>
    <w:rsid w:val="00EE6659"/>
    <w:rsid w:val="00EF2ED9"/>
    <w:rsid w:val="00EF42C0"/>
    <w:rsid w:val="00EF42F2"/>
    <w:rsid w:val="00EF473E"/>
    <w:rsid w:val="00EF48E5"/>
    <w:rsid w:val="00EF4D3B"/>
    <w:rsid w:val="00EF51C4"/>
    <w:rsid w:val="00EF5AA6"/>
    <w:rsid w:val="00EF6999"/>
    <w:rsid w:val="00EF6F09"/>
    <w:rsid w:val="00F00DFA"/>
    <w:rsid w:val="00F013B1"/>
    <w:rsid w:val="00F01960"/>
    <w:rsid w:val="00F01E79"/>
    <w:rsid w:val="00F04113"/>
    <w:rsid w:val="00F04603"/>
    <w:rsid w:val="00F05005"/>
    <w:rsid w:val="00F05743"/>
    <w:rsid w:val="00F05D5D"/>
    <w:rsid w:val="00F0661E"/>
    <w:rsid w:val="00F06E47"/>
    <w:rsid w:val="00F07A6C"/>
    <w:rsid w:val="00F12B11"/>
    <w:rsid w:val="00F12BA2"/>
    <w:rsid w:val="00F15DA8"/>
    <w:rsid w:val="00F1646D"/>
    <w:rsid w:val="00F17787"/>
    <w:rsid w:val="00F20DBE"/>
    <w:rsid w:val="00F20E5A"/>
    <w:rsid w:val="00F2127E"/>
    <w:rsid w:val="00F22973"/>
    <w:rsid w:val="00F22E70"/>
    <w:rsid w:val="00F24A40"/>
    <w:rsid w:val="00F2553C"/>
    <w:rsid w:val="00F255F2"/>
    <w:rsid w:val="00F25D8F"/>
    <w:rsid w:val="00F26FE9"/>
    <w:rsid w:val="00F315C6"/>
    <w:rsid w:val="00F332AF"/>
    <w:rsid w:val="00F33FC4"/>
    <w:rsid w:val="00F36DFB"/>
    <w:rsid w:val="00F40226"/>
    <w:rsid w:val="00F411BF"/>
    <w:rsid w:val="00F41E40"/>
    <w:rsid w:val="00F42100"/>
    <w:rsid w:val="00F46C50"/>
    <w:rsid w:val="00F46CC0"/>
    <w:rsid w:val="00F47391"/>
    <w:rsid w:val="00F50968"/>
    <w:rsid w:val="00F517AB"/>
    <w:rsid w:val="00F51958"/>
    <w:rsid w:val="00F5236F"/>
    <w:rsid w:val="00F539B7"/>
    <w:rsid w:val="00F55AC0"/>
    <w:rsid w:val="00F5639A"/>
    <w:rsid w:val="00F566BE"/>
    <w:rsid w:val="00F57DC8"/>
    <w:rsid w:val="00F57EF4"/>
    <w:rsid w:val="00F60BEA"/>
    <w:rsid w:val="00F642F8"/>
    <w:rsid w:val="00F6541C"/>
    <w:rsid w:val="00F671C1"/>
    <w:rsid w:val="00F67F71"/>
    <w:rsid w:val="00F702E7"/>
    <w:rsid w:val="00F71213"/>
    <w:rsid w:val="00F72375"/>
    <w:rsid w:val="00F7258F"/>
    <w:rsid w:val="00F72702"/>
    <w:rsid w:val="00F731EF"/>
    <w:rsid w:val="00F733C9"/>
    <w:rsid w:val="00F74284"/>
    <w:rsid w:val="00F745EA"/>
    <w:rsid w:val="00F772C3"/>
    <w:rsid w:val="00F77554"/>
    <w:rsid w:val="00F84147"/>
    <w:rsid w:val="00F84D59"/>
    <w:rsid w:val="00F85C4B"/>
    <w:rsid w:val="00F85DD2"/>
    <w:rsid w:val="00F87545"/>
    <w:rsid w:val="00F8782F"/>
    <w:rsid w:val="00F87F3D"/>
    <w:rsid w:val="00F90BAC"/>
    <w:rsid w:val="00F9168A"/>
    <w:rsid w:val="00F928F1"/>
    <w:rsid w:val="00F940D4"/>
    <w:rsid w:val="00F94872"/>
    <w:rsid w:val="00F94C7D"/>
    <w:rsid w:val="00F95327"/>
    <w:rsid w:val="00F95C87"/>
    <w:rsid w:val="00F95CBD"/>
    <w:rsid w:val="00F95D72"/>
    <w:rsid w:val="00F95E42"/>
    <w:rsid w:val="00F95FFF"/>
    <w:rsid w:val="00F964E2"/>
    <w:rsid w:val="00F96611"/>
    <w:rsid w:val="00F97873"/>
    <w:rsid w:val="00FA000F"/>
    <w:rsid w:val="00FA0D7D"/>
    <w:rsid w:val="00FA23BF"/>
    <w:rsid w:val="00FA2462"/>
    <w:rsid w:val="00FA38C5"/>
    <w:rsid w:val="00FA399D"/>
    <w:rsid w:val="00FA416E"/>
    <w:rsid w:val="00FA5039"/>
    <w:rsid w:val="00FA5168"/>
    <w:rsid w:val="00FA54CF"/>
    <w:rsid w:val="00FA6B93"/>
    <w:rsid w:val="00FA7B52"/>
    <w:rsid w:val="00FB0481"/>
    <w:rsid w:val="00FB0705"/>
    <w:rsid w:val="00FB11D4"/>
    <w:rsid w:val="00FB121B"/>
    <w:rsid w:val="00FB17FB"/>
    <w:rsid w:val="00FB20B4"/>
    <w:rsid w:val="00FB2EFE"/>
    <w:rsid w:val="00FB6ADF"/>
    <w:rsid w:val="00FB7AF4"/>
    <w:rsid w:val="00FB7BBF"/>
    <w:rsid w:val="00FC1126"/>
    <w:rsid w:val="00FC34EA"/>
    <w:rsid w:val="00FC4818"/>
    <w:rsid w:val="00FC5992"/>
    <w:rsid w:val="00FC66A5"/>
    <w:rsid w:val="00FC75B4"/>
    <w:rsid w:val="00FC780D"/>
    <w:rsid w:val="00FD0434"/>
    <w:rsid w:val="00FD10DF"/>
    <w:rsid w:val="00FD3A7E"/>
    <w:rsid w:val="00FD6A62"/>
    <w:rsid w:val="00FE0BB5"/>
    <w:rsid w:val="00FE0C3C"/>
    <w:rsid w:val="00FE17F3"/>
    <w:rsid w:val="00FE32E6"/>
    <w:rsid w:val="00FE3A0A"/>
    <w:rsid w:val="00FE46A6"/>
    <w:rsid w:val="00FE48F8"/>
    <w:rsid w:val="00FE5B7B"/>
    <w:rsid w:val="00FF0220"/>
    <w:rsid w:val="00FF0A15"/>
    <w:rsid w:val="00FF0BD3"/>
    <w:rsid w:val="00FF0D2A"/>
    <w:rsid w:val="00FF2B31"/>
    <w:rsid w:val="00FF344D"/>
    <w:rsid w:val="00FF3DF3"/>
    <w:rsid w:val="00FF4D58"/>
    <w:rsid w:val="00FF51AC"/>
    <w:rsid w:val="00FF528C"/>
    <w:rsid w:val="00FF59F8"/>
    <w:rsid w:val="00FF6D4B"/>
    <w:rsid w:val="00FF7802"/>
    <w:rsid w:val="53739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39E27"/>
  <w15:chartTrackingRefBased/>
  <w15:docId w15:val="{C8AF31AC-63AA-4533-8FA6-6D32CC95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4348D4"/>
    <w:rPr>
      <w:sz w:val="16"/>
      <w:szCs w:val="16"/>
    </w:rPr>
  </w:style>
  <w:style w:type="paragraph" w:styleId="CommentText">
    <w:name w:val="annotation text"/>
    <w:basedOn w:val="Normal"/>
    <w:link w:val="CommentTextChar"/>
    <w:uiPriority w:val="99"/>
    <w:unhideWhenUsed/>
    <w:rsid w:val="004348D4"/>
    <w:pPr>
      <w:spacing w:line="240" w:lineRule="auto"/>
    </w:pPr>
    <w:rPr>
      <w:sz w:val="20"/>
      <w:szCs w:val="20"/>
    </w:rPr>
  </w:style>
  <w:style w:type="character" w:customStyle="1" w:styleId="CommentTextChar">
    <w:name w:val="Comment Text Char"/>
    <w:basedOn w:val="DefaultParagraphFont"/>
    <w:link w:val="CommentText"/>
    <w:uiPriority w:val="99"/>
    <w:rsid w:val="004348D4"/>
    <w:rPr>
      <w:sz w:val="20"/>
      <w:szCs w:val="20"/>
    </w:rPr>
  </w:style>
  <w:style w:type="character" w:styleId="Hyperlink">
    <w:name w:val="Hyperlink"/>
    <w:basedOn w:val="DefaultParagraphFont"/>
    <w:uiPriority w:val="99"/>
    <w:unhideWhenUsed/>
    <w:rsid w:val="00894029"/>
    <w:rPr>
      <w:color w:val="467886" w:themeColor="hyperlink"/>
      <w:u w:val="single"/>
    </w:rPr>
  </w:style>
  <w:style w:type="paragraph" w:styleId="ListParagraph">
    <w:name w:val="List Paragraph"/>
    <w:basedOn w:val="Normal"/>
    <w:uiPriority w:val="34"/>
    <w:qFormat/>
    <w:rsid w:val="00F47391"/>
    <w:pPr>
      <w:ind w:left="720"/>
      <w:contextualSpacing/>
    </w:pPr>
  </w:style>
  <w:style w:type="table" w:styleId="TableGrid">
    <w:name w:val="Table Grid"/>
    <w:basedOn w:val="TableNormal"/>
    <w:uiPriority w:val="39"/>
    <w:rsid w:val="00F47391"/>
    <w:pPr>
      <w:spacing w:after="0" w:line="240" w:lineRule="auto"/>
    </w:pPr>
    <w:tblPr/>
  </w:style>
  <w:style w:type="character" w:customStyle="1" w:styleId="normaltextrun">
    <w:name w:val="normaltextrun"/>
    <w:basedOn w:val="DefaultParagraphFont"/>
    <w:rsid w:val="00F47391"/>
  </w:style>
  <w:style w:type="character" w:customStyle="1" w:styleId="eop">
    <w:name w:val="eop"/>
    <w:basedOn w:val="DefaultParagraphFont"/>
    <w:rsid w:val="00F47391"/>
  </w:style>
  <w:style w:type="paragraph" w:customStyle="1" w:styleId="paragraph">
    <w:name w:val="paragraph"/>
    <w:basedOn w:val="Normal"/>
    <w:rsid w:val="00F47391"/>
    <w:pPr>
      <w:spacing w:before="100" w:beforeAutospacing="1" w:after="100" w:afterAutospacing="1" w:line="240" w:lineRule="auto"/>
    </w:pPr>
    <w:rPr>
      <w:rFonts w:ascii="Times New Roman" w:eastAsia="Times New Roman" w:hAnsi="Times New Roman" w:cs="Times New Roman"/>
      <w:lang w:eastAsia="en-CA"/>
    </w:rPr>
  </w:style>
  <w:style w:type="paragraph" w:styleId="CommentSubject">
    <w:name w:val="annotation subject"/>
    <w:basedOn w:val="CommentText"/>
    <w:next w:val="CommentText"/>
    <w:link w:val="CommentSubjectChar"/>
    <w:uiPriority w:val="99"/>
    <w:semiHidden/>
    <w:unhideWhenUsed/>
    <w:rsid w:val="009D6978"/>
    <w:rPr>
      <w:b/>
      <w:bCs/>
    </w:rPr>
  </w:style>
  <w:style w:type="character" w:customStyle="1" w:styleId="CommentSubjectChar">
    <w:name w:val="Comment Subject Char"/>
    <w:basedOn w:val="CommentTextChar"/>
    <w:link w:val="CommentSubject"/>
    <w:uiPriority w:val="99"/>
    <w:semiHidden/>
    <w:rsid w:val="009D6978"/>
    <w:rPr>
      <w:b/>
      <w:bCs/>
      <w:sz w:val="20"/>
      <w:szCs w:val="20"/>
    </w:rPr>
  </w:style>
  <w:style w:type="character" w:styleId="UnresolvedMention">
    <w:name w:val="Unresolved Mention"/>
    <w:basedOn w:val="DefaultParagraphFont"/>
    <w:uiPriority w:val="99"/>
    <w:semiHidden/>
    <w:unhideWhenUsed/>
    <w:rsid w:val="00A402DA"/>
    <w:rPr>
      <w:color w:val="605E5C"/>
      <w:shd w:val="clear" w:color="auto" w:fill="E1DFDD"/>
    </w:rPr>
  </w:style>
  <w:style w:type="paragraph" w:styleId="Revision">
    <w:name w:val="Revision"/>
    <w:hidden/>
    <w:uiPriority w:val="99"/>
    <w:semiHidden/>
    <w:rsid w:val="006A17FE"/>
    <w:pPr>
      <w:spacing w:after="0" w:line="240" w:lineRule="auto"/>
    </w:pPr>
  </w:style>
  <w:style w:type="character" w:styleId="Mention">
    <w:name w:val="Mention"/>
    <w:basedOn w:val="DefaultParagraphFont"/>
    <w:uiPriority w:val="99"/>
    <w:unhideWhenUsed/>
    <w:rsid w:val="00E50F64"/>
    <w:rPr>
      <w:color w:val="2B579A"/>
      <w:shd w:val="clear" w:color="auto" w:fill="E1DFDD"/>
    </w:rPr>
  </w:style>
  <w:style w:type="character" w:styleId="FollowedHyperlink">
    <w:name w:val="FollowedHyperlink"/>
    <w:basedOn w:val="DefaultParagraphFont"/>
    <w:uiPriority w:val="99"/>
    <w:semiHidden/>
    <w:unhideWhenUsed/>
    <w:rsid w:val="00B82D85"/>
    <w:rPr>
      <w:color w:val="96607D" w:themeColor="followedHyperlink"/>
      <w:u w:val="single"/>
    </w:rPr>
  </w:style>
  <w:style w:type="paragraph" w:styleId="Header">
    <w:name w:val="header"/>
    <w:basedOn w:val="Normal"/>
    <w:link w:val="HeaderChar"/>
    <w:uiPriority w:val="99"/>
    <w:semiHidden/>
    <w:unhideWhenUsed/>
    <w:rsid w:val="007878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805"/>
    <w:rPr>
      <w:lang w:val="en-CA"/>
    </w:rPr>
  </w:style>
  <w:style w:type="paragraph" w:styleId="Footer">
    <w:name w:val="footer"/>
    <w:basedOn w:val="Normal"/>
    <w:link w:val="FooterChar"/>
    <w:uiPriority w:val="99"/>
    <w:semiHidden/>
    <w:unhideWhenUsed/>
    <w:rsid w:val="007878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805"/>
    <w:rPr>
      <w:lang w:val="en-CA"/>
    </w:rPr>
  </w:style>
  <w:style w:type="paragraph" w:styleId="EndnoteText">
    <w:name w:val="endnote text"/>
    <w:basedOn w:val="Normal"/>
    <w:link w:val="EndnoteTextChar"/>
    <w:uiPriority w:val="99"/>
    <w:semiHidden/>
    <w:unhideWhenUsed/>
    <w:rsid w:val="007878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7805"/>
    <w:rPr>
      <w:sz w:val="20"/>
      <w:szCs w:val="20"/>
      <w:lang w:val="en-CA"/>
    </w:rPr>
  </w:style>
  <w:style w:type="character" w:styleId="EndnoteReference">
    <w:name w:val="endnote reference"/>
    <w:basedOn w:val="DefaultParagraphFont"/>
    <w:uiPriority w:val="99"/>
    <w:semiHidden/>
    <w:unhideWhenUsed/>
    <w:rsid w:val="00787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444">
      <w:bodyDiv w:val="1"/>
      <w:marLeft w:val="0"/>
      <w:marRight w:val="0"/>
      <w:marTop w:val="0"/>
      <w:marBottom w:val="0"/>
      <w:divBdr>
        <w:top w:val="none" w:sz="0" w:space="0" w:color="auto"/>
        <w:left w:val="none" w:sz="0" w:space="0" w:color="auto"/>
        <w:bottom w:val="none" w:sz="0" w:space="0" w:color="auto"/>
        <w:right w:val="none" w:sz="0" w:space="0" w:color="auto"/>
      </w:divBdr>
    </w:div>
    <w:div w:id="65231513">
      <w:bodyDiv w:val="1"/>
      <w:marLeft w:val="0"/>
      <w:marRight w:val="0"/>
      <w:marTop w:val="0"/>
      <w:marBottom w:val="0"/>
      <w:divBdr>
        <w:top w:val="none" w:sz="0" w:space="0" w:color="auto"/>
        <w:left w:val="none" w:sz="0" w:space="0" w:color="auto"/>
        <w:bottom w:val="none" w:sz="0" w:space="0" w:color="auto"/>
        <w:right w:val="none" w:sz="0" w:space="0" w:color="auto"/>
      </w:divBdr>
    </w:div>
    <w:div w:id="72359443">
      <w:bodyDiv w:val="1"/>
      <w:marLeft w:val="0"/>
      <w:marRight w:val="0"/>
      <w:marTop w:val="0"/>
      <w:marBottom w:val="0"/>
      <w:divBdr>
        <w:top w:val="none" w:sz="0" w:space="0" w:color="auto"/>
        <w:left w:val="none" w:sz="0" w:space="0" w:color="auto"/>
        <w:bottom w:val="none" w:sz="0" w:space="0" w:color="auto"/>
        <w:right w:val="none" w:sz="0" w:space="0" w:color="auto"/>
      </w:divBdr>
    </w:div>
    <w:div w:id="99686516">
      <w:bodyDiv w:val="1"/>
      <w:marLeft w:val="0"/>
      <w:marRight w:val="0"/>
      <w:marTop w:val="0"/>
      <w:marBottom w:val="0"/>
      <w:divBdr>
        <w:top w:val="none" w:sz="0" w:space="0" w:color="auto"/>
        <w:left w:val="none" w:sz="0" w:space="0" w:color="auto"/>
        <w:bottom w:val="none" w:sz="0" w:space="0" w:color="auto"/>
        <w:right w:val="none" w:sz="0" w:space="0" w:color="auto"/>
      </w:divBdr>
    </w:div>
    <w:div w:id="119567836">
      <w:bodyDiv w:val="1"/>
      <w:marLeft w:val="0"/>
      <w:marRight w:val="0"/>
      <w:marTop w:val="0"/>
      <w:marBottom w:val="0"/>
      <w:divBdr>
        <w:top w:val="none" w:sz="0" w:space="0" w:color="auto"/>
        <w:left w:val="none" w:sz="0" w:space="0" w:color="auto"/>
        <w:bottom w:val="none" w:sz="0" w:space="0" w:color="auto"/>
        <w:right w:val="none" w:sz="0" w:space="0" w:color="auto"/>
      </w:divBdr>
    </w:div>
    <w:div w:id="898247321">
      <w:bodyDiv w:val="1"/>
      <w:marLeft w:val="0"/>
      <w:marRight w:val="0"/>
      <w:marTop w:val="0"/>
      <w:marBottom w:val="0"/>
      <w:divBdr>
        <w:top w:val="none" w:sz="0" w:space="0" w:color="auto"/>
        <w:left w:val="none" w:sz="0" w:space="0" w:color="auto"/>
        <w:bottom w:val="none" w:sz="0" w:space="0" w:color="auto"/>
        <w:right w:val="none" w:sz="0" w:space="0" w:color="auto"/>
      </w:divBdr>
    </w:div>
    <w:div w:id="902835782">
      <w:bodyDiv w:val="1"/>
      <w:marLeft w:val="0"/>
      <w:marRight w:val="0"/>
      <w:marTop w:val="0"/>
      <w:marBottom w:val="0"/>
      <w:divBdr>
        <w:top w:val="none" w:sz="0" w:space="0" w:color="auto"/>
        <w:left w:val="none" w:sz="0" w:space="0" w:color="auto"/>
        <w:bottom w:val="none" w:sz="0" w:space="0" w:color="auto"/>
        <w:right w:val="none" w:sz="0" w:space="0" w:color="auto"/>
      </w:divBdr>
    </w:div>
    <w:div w:id="1041780952">
      <w:bodyDiv w:val="1"/>
      <w:marLeft w:val="0"/>
      <w:marRight w:val="0"/>
      <w:marTop w:val="0"/>
      <w:marBottom w:val="0"/>
      <w:divBdr>
        <w:top w:val="none" w:sz="0" w:space="0" w:color="auto"/>
        <w:left w:val="none" w:sz="0" w:space="0" w:color="auto"/>
        <w:bottom w:val="none" w:sz="0" w:space="0" w:color="auto"/>
        <w:right w:val="none" w:sz="0" w:space="0" w:color="auto"/>
      </w:divBdr>
    </w:div>
    <w:div w:id="1167328944">
      <w:bodyDiv w:val="1"/>
      <w:marLeft w:val="0"/>
      <w:marRight w:val="0"/>
      <w:marTop w:val="0"/>
      <w:marBottom w:val="0"/>
      <w:divBdr>
        <w:top w:val="none" w:sz="0" w:space="0" w:color="auto"/>
        <w:left w:val="none" w:sz="0" w:space="0" w:color="auto"/>
        <w:bottom w:val="none" w:sz="0" w:space="0" w:color="auto"/>
        <w:right w:val="none" w:sz="0" w:space="0" w:color="auto"/>
      </w:divBdr>
    </w:div>
    <w:div w:id="1284191641">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
    <w:div w:id="1417097542">
      <w:bodyDiv w:val="1"/>
      <w:marLeft w:val="0"/>
      <w:marRight w:val="0"/>
      <w:marTop w:val="0"/>
      <w:marBottom w:val="0"/>
      <w:divBdr>
        <w:top w:val="none" w:sz="0" w:space="0" w:color="auto"/>
        <w:left w:val="none" w:sz="0" w:space="0" w:color="auto"/>
        <w:bottom w:val="none" w:sz="0" w:space="0" w:color="auto"/>
        <w:right w:val="none" w:sz="0" w:space="0" w:color="auto"/>
      </w:divBdr>
    </w:div>
    <w:div w:id="1436973935">
      <w:bodyDiv w:val="1"/>
      <w:marLeft w:val="0"/>
      <w:marRight w:val="0"/>
      <w:marTop w:val="0"/>
      <w:marBottom w:val="0"/>
      <w:divBdr>
        <w:top w:val="none" w:sz="0" w:space="0" w:color="auto"/>
        <w:left w:val="none" w:sz="0" w:space="0" w:color="auto"/>
        <w:bottom w:val="none" w:sz="0" w:space="0" w:color="auto"/>
        <w:right w:val="none" w:sz="0" w:space="0" w:color="auto"/>
      </w:divBdr>
    </w:div>
    <w:div w:id="1746339524">
      <w:bodyDiv w:val="1"/>
      <w:marLeft w:val="0"/>
      <w:marRight w:val="0"/>
      <w:marTop w:val="0"/>
      <w:marBottom w:val="0"/>
      <w:divBdr>
        <w:top w:val="none" w:sz="0" w:space="0" w:color="auto"/>
        <w:left w:val="none" w:sz="0" w:space="0" w:color="auto"/>
        <w:bottom w:val="none" w:sz="0" w:space="0" w:color="auto"/>
        <w:right w:val="none" w:sz="0" w:space="0" w:color="auto"/>
      </w:divBdr>
    </w:div>
    <w:div w:id="1890532393">
      <w:bodyDiv w:val="1"/>
      <w:marLeft w:val="0"/>
      <w:marRight w:val="0"/>
      <w:marTop w:val="0"/>
      <w:marBottom w:val="0"/>
      <w:divBdr>
        <w:top w:val="none" w:sz="0" w:space="0" w:color="auto"/>
        <w:left w:val="none" w:sz="0" w:space="0" w:color="auto"/>
        <w:bottom w:val="none" w:sz="0" w:space="0" w:color="auto"/>
        <w:right w:val="none" w:sz="0" w:space="0" w:color="auto"/>
      </w:divBdr>
    </w:div>
    <w:div w:id="1952740413">
      <w:bodyDiv w:val="1"/>
      <w:marLeft w:val="0"/>
      <w:marRight w:val="0"/>
      <w:marTop w:val="0"/>
      <w:marBottom w:val="0"/>
      <w:divBdr>
        <w:top w:val="none" w:sz="0" w:space="0" w:color="auto"/>
        <w:left w:val="none" w:sz="0" w:space="0" w:color="auto"/>
        <w:bottom w:val="none" w:sz="0" w:space="0" w:color="auto"/>
        <w:right w:val="none" w:sz="0" w:space="0" w:color="auto"/>
      </w:divBdr>
    </w:div>
    <w:div w:id="2009091251">
      <w:bodyDiv w:val="1"/>
      <w:marLeft w:val="0"/>
      <w:marRight w:val="0"/>
      <w:marTop w:val="0"/>
      <w:marBottom w:val="0"/>
      <w:divBdr>
        <w:top w:val="none" w:sz="0" w:space="0" w:color="auto"/>
        <w:left w:val="none" w:sz="0" w:space="0" w:color="auto"/>
        <w:bottom w:val="none" w:sz="0" w:space="0" w:color="auto"/>
        <w:right w:val="none" w:sz="0" w:space="0" w:color="auto"/>
      </w:divBdr>
    </w:div>
    <w:div w:id="20493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rw.org/resource/elearning-cours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6" Type="http://schemas.openxmlformats.org/officeDocument/2006/relationships/hyperlink" Target="https://www.ryersonleadlab.com/overcoming-digital-divides" TargetMode="External"/><Relationship Id="rId21" Type="http://schemas.openxmlformats.org/officeDocument/2006/relationships/hyperlink" Target="https://doi.org/10.1068/a452" TargetMode="External"/><Relationship Id="rId34" Type="http://schemas.openxmlformats.org/officeDocument/2006/relationships/hyperlink" Target="https://www.brookings.edu/articles/six-key-steps-for-improving-equality-and-efficiency-in-digital-public-infrastructure/" TargetMode="External"/><Relationship Id="rId42" Type="http://schemas.openxmlformats.org/officeDocument/2006/relationships/hyperlink" Target="https://www.collegesinstitutes.ca/moving-learning-and-teaching-online/" TargetMode="External"/><Relationship Id="rId47" Type="http://schemas.openxmlformats.org/officeDocument/2006/relationships/hyperlink" Target="https://doi.org/10.46328/ijtes.364" TargetMode="External"/><Relationship Id="rId50" Type="http://schemas.openxmlformats.org/officeDocument/2006/relationships/hyperlink" Target="https://doi.org/10.3389/feduc.2024.123456" TargetMode="External"/><Relationship Id="rId55" Type="http://schemas.openxmlformats.org/officeDocument/2006/relationships/hyperlink" Target="https://doi.org/10.1177/01626434211054433%5b2%5d(https://journals.sagepub.com/doi/pdf/10.1177/01626434211054433?download=true)" TargetMode="External"/><Relationship Id="rId63" Type="http://schemas.openxmlformats.org/officeDocument/2006/relationships/hyperlink" Target="https://fastercapital.com/content/Community-engagement-initiatives--Digital-Literacy-Programs--Bridging-the-Gap--Digital-Literacy-Programs-in-Modern-Communities.html" TargetMode="External"/><Relationship Id="rId7" Type="http://schemas.openxmlformats.org/officeDocument/2006/relationships/hyperlink" Target="https://assets.kpmg.com/content/dam/kpmg/ca/pdf/2024/11/generative-ai-adoption-index-report-en.pdf" TargetMode="External"/><Relationship Id="rId2" Type="http://schemas.openxmlformats.org/officeDocument/2006/relationships/hyperlink" Target="https://www.digitalinclusion.org/definitions/" TargetMode="External"/><Relationship Id="rId16" Type="http://schemas.openxmlformats.org/officeDocument/2006/relationships/hyperlink" Target="https://doi.org/10.1016/j.ssmqr.2023.100293" TargetMode="External"/><Relationship Id="rId29" Type="http://schemas.openxmlformats.org/officeDocument/2006/relationships/hyperlink" Target="https://digital-competence.eu/dc/front/what-is-digital-competence/" TargetMode="External"/><Relationship Id="rId11" Type="http://schemas.openxmlformats.org/officeDocument/2006/relationships/hyperlink" Target="https://fsc-ccf.ca/wp-content/uploads/2024/10/the-skills-algorithm-digital-skills-demand-across-canadas-labour-market.pdf" TargetMode="External"/><Relationship Id="rId24" Type="http://schemas.openxmlformats.org/officeDocument/2006/relationships/hyperlink" Target="https://www150.statcan.gc.ca/n1/daily-quotidien/250224/dq250224b-eng.htm" TargetMode="External"/><Relationship Id="rId32" Type="http://schemas.openxmlformats.org/officeDocument/2006/relationships/hyperlink" Target="https://www150.statcan.gc.ca/t1/tbl1/en/tv.action?pid=1310094201" TargetMode="External"/><Relationship Id="rId37" Type="http://schemas.openxmlformats.org/officeDocument/2006/relationships/hyperlink" Target="https://www.tbs-sct.canada.ca/pol/doc-eng.aspx?id=23601" TargetMode="External"/><Relationship Id="rId40" Type="http://schemas.openxmlformats.org/officeDocument/2006/relationships/hyperlink" Target="https://doi.org/10.22329/jtl.v18i2.7453" TargetMode="External"/><Relationship Id="rId45" Type="http://schemas.openxmlformats.org/officeDocument/2006/relationships/hyperlink" Target="https://nationalmentoringresourcecenter.org/wp-content/uploads/2021/01/Mentoring_for_Youth_with_Disabilities_Population_Review.pdf" TargetMode="External"/><Relationship Id="rId53" Type="http://schemas.openxmlformats.org/officeDocument/2006/relationships/hyperlink" Target="https://openpedagogy.org/learning-guide/universal-design-for-learning/" TargetMode="External"/><Relationship Id="rId58" Type="http://schemas.openxmlformats.org/officeDocument/2006/relationships/hyperlink" Target="https://doi.org/10.1007/978-3-319-08596-8_4%5b1%5d(https://link.springer.com/chapter/10.1007/978-3-319-08596-8_4)" TargetMode="External"/><Relationship Id="rId5" Type="http://schemas.openxmlformats.org/officeDocument/2006/relationships/hyperlink" Target="https://doi.org/10.1108/jebde-09-2023-0018" TargetMode="External"/><Relationship Id="rId61" Type="http://schemas.openxmlformats.org/officeDocument/2006/relationships/hyperlink" Target="https://digitalfractal.com/digital-adaptation-indigenous-communities/" TargetMode="External"/><Relationship Id="rId19" Type="http://schemas.openxmlformats.org/officeDocument/2006/relationships/hyperlink" Target="https://www150.statcan.gc.ca/n1/pub/89-654-x/89-654-x2025004-eng.htm" TargetMode="External"/><Relationship Id="rId14" Type="http://schemas.openxmlformats.org/officeDocument/2006/relationships/hyperlink" Target="https://pmctraining.com/articles-and-resources/digital-skills-in-canada-today/" TargetMode="External"/><Relationship Id="rId22" Type="http://schemas.openxmlformats.org/officeDocument/2006/relationships/hyperlink" Target="https://www.w3.org/WAI/fundamentals/accessibility-intro/" TargetMode="External"/><Relationship Id="rId27" Type="http://schemas.openxmlformats.org/officeDocument/2006/relationships/hyperlink" Target="https://dais.ca/reports/overcoming-digital-divides/" TargetMode="External"/><Relationship Id="rId30" Type="http://schemas.openxmlformats.org/officeDocument/2006/relationships/hyperlink" Target="https://www.canada.ca/en/services/jobs/training/initiatives/skills-success/understanding-individuals.html" TargetMode="External"/><Relationship Id="rId35" Type="http://schemas.openxmlformats.org/officeDocument/2006/relationships/hyperlink" Target="https://www.unicef.org/digitaleducation/equityandinclusion" TargetMode="External"/><Relationship Id="rId43" Type="http://schemas.openxmlformats.org/officeDocument/2006/relationships/hyperlink" Target="https://ictc-ctic.ca/news-events/uncharted-waters-new-research-for-creating-a-canadian-e-learning-framework" TargetMode="External"/><Relationship Id="rId48" Type="http://schemas.openxmlformats.org/officeDocument/2006/relationships/hyperlink" Target="https://www.weforum.org/stories/2025/01/ai-workplace-skills/" TargetMode="External"/><Relationship Id="rId56" Type="http://schemas.openxmlformats.org/officeDocument/2006/relationships/hyperlink" Target="https://www.ijfmr.com/papers/2024/1/11923.pdf" TargetMode="External"/><Relationship Id="rId64" Type="http://schemas.openxmlformats.org/officeDocument/2006/relationships/hyperlink" Target="https://ischool.uw.edu/sites/default/files/capstone/posters/85%20evaluation%20tool%20digital%20literacy.pdf" TargetMode="External"/><Relationship Id="rId8" Type="http://schemas.openxmlformats.org/officeDocument/2006/relationships/hyperlink" Target="https://www150.statcan.gc.ca/n1/pub/11-621-m/11-621-m2025011-eng.htm" TargetMode="External"/><Relationship Id="rId51" Type="http://schemas.openxmlformats.org/officeDocument/2006/relationships/hyperlink" Target="https://doi.org/10.1145/3663548.3675666" TargetMode="External"/><Relationship Id="rId3" Type="http://schemas.openxmlformats.org/officeDocument/2006/relationships/hyperlink" Target="https://ised-isde.canada.ca/site/connecting-families/en" TargetMode="External"/><Relationship Id="rId12" Type="http://schemas.openxmlformats.org/officeDocument/2006/relationships/hyperlink" Target="https://ised-isde.canada.ca/site/innovation-better-canada/en/canadas-digital-charter-trust-digital-world" TargetMode="External"/><Relationship Id="rId17" Type="http://schemas.openxmlformats.org/officeDocument/2006/relationships/hyperlink" Target="https://www150.statcan.gc.ca/n1/en/catalogue/89-654-X2024001" TargetMode="External"/><Relationship Id="rId25" Type="http://schemas.openxmlformats.org/officeDocument/2006/relationships/hyperlink" Target="https://aclanthology.org/2023.trustnlp-1.3.pdf" TargetMode="External"/><Relationship Id="rId33" Type="http://schemas.openxmlformats.org/officeDocument/2006/relationships/hyperlink" Target="https://www150.statcan.gc.ca/t1/tbl1/en/tv.action?pid=1310093901" TargetMode="External"/><Relationship Id="rId38" Type="http://schemas.openxmlformats.org/officeDocument/2006/relationships/hyperlink" Target="https://accessible.canada.ca/creating-accessibility-standards/canasc-en-301-5492024-accessibility-requirements-ict-products-and-services" TargetMode="External"/><Relationship Id="rId46" Type="http://schemas.openxmlformats.org/officeDocument/2006/relationships/hyperlink" Target="https://mentorcanada.ca/sites/default/files/2024-06/Mentoring%20for%20persons%20experiencing%20disability.pdf" TargetMode="External"/><Relationship Id="rId59" Type="http://schemas.openxmlformats.org/officeDocument/2006/relationships/hyperlink" Target="https://www.montclair.edu/faculty-excellence/ctai-teaching-resources-universal-design-for-learning/" TargetMode="External"/><Relationship Id="rId20" Type="http://schemas.openxmlformats.org/officeDocument/2006/relationships/hyperlink" Target="https://doi.org/10.1080/1369118X.2021.1897150" TargetMode="External"/><Relationship Id="rId41" Type="http://schemas.openxmlformats.org/officeDocument/2006/relationships/hyperlink" Target="https://ctli.jibc.ca/wp-content/uploads/2020/04/UDL_A_Practical_Guide.pdf" TargetMode="External"/><Relationship Id="rId54" Type="http://schemas.openxmlformats.org/officeDocument/2006/relationships/hyperlink" Target="https://learningcorner.co/knowledge-base/glossary/modular-learning" TargetMode="External"/><Relationship Id="rId62" Type="http://schemas.openxmlformats.org/officeDocument/2006/relationships/hyperlink" Target="https://www.idra.org/resource-center/youth-centered-programs-help-to-bridge-the-digital-divide-in-underserved-communities/" TargetMode="External"/><Relationship Id="rId1" Type="http://schemas.openxmlformats.org/officeDocument/2006/relationships/hyperlink" Target="https://doi.org/10.1002/ajim.23262" TargetMode="External"/><Relationship Id="rId6" Type="http://schemas.openxmlformats.org/officeDocument/2006/relationships/hyperlink" Target="https://www.canada.ca/en/government/system/digital-government/digital-government-innovations/responsible-use-ai/guide-use-generative-ai.html" TargetMode="External"/><Relationship Id="rId15" Type="http://schemas.openxmlformats.org/officeDocument/2006/relationships/hyperlink" Target="https://ised-isde.canada.ca/site/high-speed-internet-canada/en/canadas-connectivity-strategy/high-speed-access-all-canadas-connectivity-strategy" TargetMode="External"/><Relationship Id="rId23" Type="http://schemas.openxmlformats.org/officeDocument/2006/relationships/hyperlink" Target="https://www150.statcan.gc.ca/t1/tbl1/en/tv.action?pid=1310093801" TargetMode="External"/><Relationship Id="rId28" Type="http://schemas.openxmlformats.org/officeDocument/2006/relationships/hyperlink" Target="https://doi.org/10.1108/DTS-04-2024-0054" TargetMode="External"/><Relationship Id="rId36" Type="http://schemas.openxmlformats.org/officeDocument/2006/relationships/hyperlink" Target="https://www.undp.org/digital/standards/2-bridge-digital-divide" TargetMode="External"/><Relationship Id="rId49" Type="http://schemas.openxmlformats.org/officeDocument/2006/relationships/hyperlink" Target="https://doi.org/10.1126/science.abj2830" TargetMode="External"/><Relationship Id="rId57" Type="http://schemas.openxmlformats.org/officeDocument/2006/relationships/hyperlink" Target="https://scie-journal.com/index.php/SiLeT/article/view/268" TargetMode="External"/><Relationship Id="rId10" Type="http://schemas.openxmlformats.org/officeDocument/2006/relationships/hyperlink" Target="https://www.cnbc.com/2025/09/26/accenture-plans-on-exiting-staff-who-cant-be-reskilled-on-ai.html" TargetMode="External"/><Relationship Id="rId31" Type="http://schemas.openxmlformats.org/officeDocument/2006/relationships/hyperlink" Target="https://theconversation.com/ai-is-changing-who-gets-hired-what-skills-will-keep-you-employed-267376" TargetMode="External"/><Relationship Id="rId44" Type="http://schemas.openxmlformats.org/officeDocument/2006/relationships/hyperlink" Target="https://www.industryandbusiness.ca/how-digital-skills-training-is-reshaping-canadian-careers-and-why-it-matters/" TargetMode="External"/><Relationship Id="rId52" Type="http://schemas.openxmlformats.org/officeDocument/2006/relationships/hyperlink" Target="https://doi.org/10.1016/j.compedu.2019.103695" TargetMode="External"/><Relationship Id="rId60" Type="http://schemas.openxmlformats.org/officeDocument/2006/relationships/hyperlink" Target="https://connectednation.org/blog/enhancing-digital-equity-the-importance-of-digital-literacy-programs" TargetMode="External"/><Relationship Id="rId65" Type="http://schemas.openxmlformats.org/officeDocument/2006/relationships/hyperlink" Target="https://accessible.canada.ca/creating-accessibility-standards/can-asc-112024-rev-2025-employment/10-structural-support-policy-and-leadership-systems-policies-and-practices" TargetMode="External"/><Relationship Id="rId4" Type="http://schemas.openxmlformats.org/officeDocument/2006/relationships/hyperlink" Target="https://www.socialconnectedness.org/canadas-digital-divide-and-the-path-to-digital-equity-for-all-ages/" TargetMode="External"/><Relationship Id="rId9" Type="http://schemas.openxmlformats.org/officeDocument/2006/relationships/hyperlink" Target="https://www.iedconline.org/clientuploads/EDRP%20Logos/AI_Impact_on_Labor_Markets.pdf" TargetMode="External"/><Relationship Id="rId13" Type="http://schemas.openxmlformats.org/officeDocument/2006/relationships/hyperlink" Target="https://www.industryandbusiness.ca/how-digital-skills-training-is-reshaping-canadian-careers-and-why-it-matters/" TargetMode="External"/><Relationship Id="rId18" Type="http://schemas.openxmlformats.org/officeDocument/2006/relationships/hyperlink" Target="https://www150.statcan.gc.ca/n1/en/daily-quotidien/250324/dq250324b-eng.pdf?st=D4W2wgd1" TargetMode="External"/><Relationship Id="rId39" Type="http://schemas.openxmlformats.org/officeDocument/2006/relationships/hyperlink" Target="https://www.continualengine.com/blog/wcag-2-2-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feb0f6-aa14-4c7f-9fb2-0e7c0c2858a8">
      <Terms xmlns="http://schemas.microsoft.com/office/infopath/2007/PartnerControls"/>
    </lcf76f155ced4ddcb4097134ff3c332f>
    <TaxCatchAll xmlns="f61fc526-369a-4173-9222-99ed8c3bd0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49466ED47D84B82E788DEF7228A87" ma:contentTypeVersion="16" ma:contentTypeDescription="Create a new document." ma:contentTypeScope="" ma:versionID="6bce1703c54264f559e0099a87cd0c6b">
  <xsd:schema xmlns:xsd="http://www.w3.org/2001/XMLSchema" xmlns:xs="http://www.w3.org/2001/XMLSchema" xmlns:p="http://schemas.microsoft.com/office/2006/metadata/properties" xmlns:ns2="81feb0f6-aa14-4c7f-9fb2-0e7c0c2858a8" xmlns:ns3="f61fc526-369a-4173-9222-99ed8c3bd08c" targetNamespace="http://schemas.microsoft.com/office/2006/metadata/properties" ma:root="true" ma:fieldsID="1f60c3498d8937ecb5a6381bb06a2577" ns2:_="" ns3:_="">
    <xsd:import namespace="81feb0f6-aa14-4c7f-9fb2-0e7c0c2858a8"/>
    <xsd:import namespace="f61fc526-369a-4173-9222-99ed8c3bd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eb0f6-aa14-4c7f-9fb2-0e7c0c285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8bad75-d09f-4bfd-a954-b846a31904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fc526-369a-4173-9222-99ed8c3bd0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ff7781b-b04d-47ac-881b-e775e53eafaa}" ma:internalName="TaxCatchAll" ma:showField="CatchAllData" ma:web="f61fc526-369a-4173-9222-99ed8c3bd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ACE5-0F5C-4F8C-92B0-310CF91E3A87}">
  <ds:schemaRefs>
    <ds:schemaRef ds:uri="http://schemas.microsoft.com/office/2006/metadata/properties"/>
    <ds:schemaRef ds:uri="http://schemas.microsoft.com/office/infopath/2007/PartnerControls"/>
    <ds:schemaRef ds:uri="81feb0f6-aa14-4c7f-9fb2-0e7c0c2858a8"/>
    <ds:schemaRef ds:uri="f61fc526-369a-4173-9222-99ed8c3bd08c"/>
  </ds:schemaRefs>
</ds:datastoreItem>
</file>

<file path=customXml/itemProps2.xml><?xml version="1.0" encoding="utf-8"?>
<ds:datastoreItem xmlns:ds="http://schemas.openxmlformats.org/officeDocument/2006/customXml" ds:itemID="{45CC2E5C-9EEF-40A2-8D87-B033E530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eb0f6-aa14-4c7f-9fb2-0e7c0c2858a8"/>
    <ds:schemaRef ds:uri="f61fc526-369a-4173-9222-99ed8c3bd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EBA20-B736-4158-A48D-FEE3C4B7BF8F}">
  <ds:schemaRefs>
    <ds:schemaRef ds:uri="http://schemas.microsoft.com/sharepoint/v3/contenttype/forms"/>
  </ds:schemaRefs>
</ds:datastoreItem>
</file>

<file path=customXml/itemProps4.xml><?xml version="1.0" encoding="utf-8"?>
<ds:datastoreItem xmlns:ds="http://schemas.openxmlformats.org/officeDocument/2006/customXml" ds:itemID="{792ED550-F75F-482D-B09F-6D4613BE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17786</TotalTime>
  <Pages>26</Pages>
  <Words>7003</Words>
  <Characters>39918</Characters>
  <Application>Microsoft Office Word</Application>
  <DocSecurity>0</DocSecurity>
  <Lines>332</Lines>
  <Paragraphs>93</Paragraphs>
  <ScaleCrop>false</ScaleCrop>
  <Company/>
  <LinksUpToDate>false</LinksUpToDate>
  <CharactersWithSpaces>46828</CharactersWithSpaces>
  <SharedDoc>false</SharedDoc>
  <HLinks>
    <vt:vector size="444" baseType="variant">
      <vt:variant>
        <vt:i4>3735679</vt:i4>
      </vt:variant>
      <vt:variant>
        <vt:i4>216</vt:i4>
      </vt:variant>
      <vt:variant>
        <vt:i4>0</vt:i4>
      </vt:variant>
      <vt:variant>
        <vt:i4>5</vt:i4>
      </vt:variant>
      <vt:variant>
        <vt:lpwstr>https://doi.org/10.1126/science.abj2830</vt:lpwstr>
      </vt:variant>
      <vt:variant>
        <vt:lpwstr/>
      </vt:variant>
      <vt:variant>
        <vt:i4>4653081</vt:i4>
      </vt:variant>
      <vt:variant>
        <vt:i4>213</vt:i4>
      </vt:variant>
      <vt:variant>
        <vt:i4>0</vt:i4>
      </vt:variant>
      <vt:variant>
        <vt:i4>5</vt:i4>
      </vt:variant>
      <vt:variant>
        <vt:lpwstr>https://www.w3.org/WAI/fundamentals/accessibility-intro/</vt:lpwstr>
      </vt:variant>
      <vt:variant>
        <vt:lpwstr/>
      </vt:variant>
      <vt:variant>
        <vt:i4>5439552</vt:i4>
      </vt:variant>
      <vt:variant>
        <vt:i4>210</vt:i4>
      </vt:variant>
      <vt:variant>
        <vt:i4>0</vt:i4>
      </vt:variant>
      <vt:variant>
        <vt:i4>5</vt:i4>
      </vt:variant>
      <vt:variant>
        <vt:lpwstr>https://www.weforum.org/stories/2025/01/ai-workplace-skills/</vt:lpwstr>
      </vt:variant>
      <vt:variant>
        <vt:lpwstr/>
      </vt:variant>
      <vt:variant>
        <vt:i4>2293793</vt:i4>
      </vt:variant>
      <vt:variant>
        <vt:i4>207</vt:i4>
      </vt:variant>
      <vt:variant>
        <vt:i4>0</vt:i4>
      </vt:variant>
      <vt:variant>
        <vt:i4>5</vt:i4>
      </vt:variant>
      <vt:variant>
        <vt:lpwstr>https://doi.org/10.1108/jebde-09-2023-0018</vt:lpwstr>
      </vt:variant>
      <vt:variant>
        <vt:lpwstr/>
      </vt:variant>
      <vt:variant>
        <vt:i4>196688</vt:i4>
      </vt:variant>
      <vt:variant>
        <vt:i4>204</vt:i4>
      </vt:variant>
      <vt:variant>
        <vt:i4>0</vt:i4>
      </vt:variant>
      <vt:variant>
        <vt:i4>5</vt:i4>
      </vt:variant>
      <vt:variant>
        <vt:lpwstr>https://scie-journal.com/index.php/SiLeT/article/view/268</vt:lpwstr>
      </vt:variant>
      <vt:variant>
        <vt:lpwstr/>
      </vt:variant>
      <vt:variant>
        <vt:i4>6684777</vt:i4>
      </vt:variant>
      <vt:variant>
        <vt:i4>201</vt:i4>
      </vt:variant>
      <vt:variant>
        <vt:i4>0</vt:i4>
      </vt:variant>
      <vt:variant>
        <vt:i4>5</vt:i4>
      </vt:variant>
      <vt:variant>
        <vt:lpwstr>https://ischool.uw.edu/sites/default/files/capstone/posters/85 evaluation tool digital literacy.pdf</vt:lpwstr>
      </vt:variant>
      <vt:variant>
        <vt:lpwstr/>
      </vt:variant>
      <vt:variant>
        <vt:i4>3342432</vt:i4>
      </vt:variant>
      <vt:variant>
        <vt:i4>198</vt:i4>
      </vt:variant>
      <vt:variant>
        <vt:i4>0</vt:i4>
      </vt:variant>
      <vt:variant>
        <vt:i4>5</vt:i4>
      </vt:variant>
      <vt:variant>
        <vt:lpwstr>https://aclanthology.org/2023.trustnlp-1.3.pdf</vt:lpwstr>
      </vt:variant>
      <vt:variant>
        <vt:lpwstr/>
      </vt:variant>
      <vt:variant>
        <vt:i4>6815855</vt:i4>
      </vt:variant>
      <vt:variant>
        <vt:i4>195</vt:i4>
      </vt:variant>
      <vt:variant>
        <vt:i4>0</vt:i4>
      </vt:variant>
      <vt:variant>
        <vt:i4>5</vt:i4>
      </vt:variant>
      <vt:variant>
        <vt:lpwstr>https://www.undp.org/digital/standards/2-bridge-digital-divide</vt:lpwstr>
      </vt:variant>
      <vt:variant>
        <vt:lpwstr/>
      </vt:variant>
      <vt:variant>
        <vt:i4>7602210</vt:i4>
      </vt:variant>
      <vt:variant>
        <vt:i4>192</vt:i4>
      </vt:variant>
      <vt:variant>
        <vt:i4>0</vt:i4>
      </vt:variant>
      <vt:variant>
        <vt:i4>5</vt:i4>
      </vt:variant>
      <vt:variant>
        <vt:lpwstr>https://www.unicef.org/digitaleducation/equityandinclusion</vt:lpwstr>
      </vt:variant>
      <vt:variant>
        <vt:lpwstr/>
      </vt:variant>
      <vt:variant>
        <vt:i4>7929905</vt:i4>
      </vt:variant>
      <vt:variant>
        <vt:i4>189</vt:i4>
      </vt:variant>
      <vt:variant>
        <vt:i4>0</vt:i4>
      </vt:variant>
      <vt:variant>
        <vt:i4>5</vt:i4>
      </vt:variant>
      <vt:variant>
        <vt:lpwstr>https://www.tbs-sct.canada.ca/pol/doc-eng.aspx?id=23601</vt:lpwstr>
      </vt:variant>
      <vt:variant>
        <vt:lpwstr/>
      </vt:variant>
      <vt:variant>
        <vt:i4>4521986</vt:i4>
      </vt:variant>
      <vt:variant>
        <vt:i4>186</vt:i4>
      </vt:variant>
      <vt:variant>
        <vt:i4>0</vt:i4>
      </vt:variant>
      <vt:variant>
        <vt:i4>5</vt:i4>
      </vt:variant>
      <vt:variant>
        <vt:lpwstr>https://www.canada.ca/en/treasury-board-secretariat/topics/professional-development/gc-digital-competencies-all-public-servants/digital-literacy.html</vt:lpwstr>
      </vt:variant>
      <vt:variant>
        <vt:lpwstr/>
      </vt:variant>
      <vt:variant>
        <vt:i4>65615</vt:i4>
      </vt:variant>
      <vt:variant>
        <vt:i4>183</vt:i4>
      </vt:variant>
      <vt:variant>
        <vt:i4>0</vt:i4>
      </vt:variant>
      <vt:variant>
        <vt:i4>5</vt:i4>
      </vt:variant>
      <vt:variant>
        <vt:lpwstr>https://www.canada.ca/en/treasury-board-secretariat/topics/professional-development/gc-digital-competencies-all-public-servants.html</vt:lpwstr>
      </vt:variant>
      <vt:variant>
        <vt:lpwstr/>
      </vt:variant>
      <vt:variant>
        <vt:i4>4980755</vt:i4>
      </vt:variant>
      <vt:variant>
        <vt:i4>180</vt:i4>
      </vt:variant>
      <vt:variant>
        <vt:i4>0</vt:i4>
      </vt:variant>
      <vt:variant>
        <vt:i4>5</vt:i4>
      </vt:variant>
      <vt:variant>
        <vt:lpwstr>https://www.canada.ca/en/government/system/digital-government/digital-government-innovations/responsible-use-ai/guide-use-generative-ai.html</vt:lpwstr>
      </vt:variant>
      <vt:variant>
        <vt:lpwstr/>
      </vt:variant>
      <vt:variant>
        <vt:i4>2621550</vt:i4>
      </vt:variant>
      <vt:variant>
        <vt:i4>177</vt:i4>
      </vt:variant>
      <vt:variant>
        <vt:i4>0</vt:i4>
      </vt:variant>
      <vt:variant>
        <vt:i4>5</vt:i4>
      </vt:variant>
      <vt:variant>
        <vt:lpwstr>https://www.route-fifty.com/digital-government/2025/03/government-websites-are-littered-accessibility-issues-research-finds/404026/</vt:lpwstr>
      </vt:variant>
      <vt:variant>
        <vt:lpwstr/>
      </vt:variant>
      <vt:variant>
        <vt:i4>7929938</vt:i4>
      </vt:variant>
      <vt:variant>
        <vt:i4>174</vt:i4>
      </vt:variant>
      <vt:variant>
        <vt:i4>0</vt:i4>
      </vt:variant>
      <vt:variant>
        <vt:i4>5</vt:i4>
      </vt:variant>
      <vt:variant>
        <vt:lpwstr>https://ctli.jibc.ca/wp-content/uploads/2020/04/UDL_A_Practical_Guide.pdf</vt:lpwstr>
      </vt:variant>
      <vt:variant>
        <vt:lpwstr/>
      </vt:variant>
      <vt:variant>
        <vt:i4>4980813</vt:i4>
      </vt:variant>
      <vt:variant>
        <vt:i4>171</vt:i4>
      </vt:variant>
      <vt:variant>
        <vt:i4>0</vt:i4>
      </vt:variant>
      <vt:variant>
        <vt:i4>5</vt:i4>
      </vt:variant>
      <vt:variant>
        <vt:lpwstr>https://www150.statcan.gc.ca/t1/tbl1/en/tv.action?pid=1310094201</vt:lpwstr>
      </vt:variant>
      <vt:variant>
        <vt:lpwstr/>
      </vt:variant>
      <vt:variant>
        <vt:i4>4653130</vt:i4>
      </vt:variant>
      <vt:variant>
        <vt:i4>168</vt:i4>
      </vt:variant>
      <vt:variant>
        <vt:i4>0</vt:i4>
      </vt:variant>
      <vt:variant>
        <vt:i4>5</vt:i4>
      </vt:variant>
      <vt:variant>
        <vt:lpwstr>https://www150.statcan.gc.ca/t1/tbl1/en/tv.action?pid=1310093901</vt:lpwstr>
      </vt:variant>
      <vt:variant>
        <vt:lpwstr/>
      </vt:variant>
      <vt:variant>
        <vt:i4>4587594</vt:i4>
      </vt:variant>
      <vt:variant>
        <vt:i4>165</vt:i4>
      </vt:variant>
      <vt:variant>
        <vt:i4>0</vt:i4>
      </vt:variant>
      <vt:variant>
        <vt:i4>5</vt:i4>
      </vt:variant>
      <vt:variant>
        <vt:lpwstr>https://www150.statcan.gc.ca/t1/tbl1/en/tv.action?pid=1310093801</vt:lpwstr>
      </vt:variant>
      <vt:variant>
        <vt:lpwstr/>
      </vt:variant>
      <vt:variant>
        <vt:i4>1835082</vt:i4>
      </vt:variant>
      <vt:variant>
        <vt:i4>162</vt:i4>
      </vt:variant>
      <vt:variant>
        <vt:i4>0</vt:i4>
      </vt:variant>
      <vt:variant>
        <vt:i4>5</vt:i4>
      </vt:variant>
      <vt:variant>
        <vt:lpwstr>https://www150.statcan.gc.ca/n1/daily-quotidien/250224/dq250224b-eng.htm</vt:lpwstr>
      </vt:variant>
      <vt:variant>
        <vt:lpwstr/>
      </vt:variant>
      <vt:variant>
        <vt:i4>6619248</vt:i4>
      </vt:variant>
      <vt:variant>
        <vt:i4>159</vt:i4>
      </vt:variant>
      <vt:variant>
        <vt:i4>0</vt:i4>
      </vt:variant>
      <vt:variant>
        <vt:i4>5</vt:i4>
      </vt:variant>
      <vt:variant>
        <vt:lpwstr>https://www150.statcan.gc.ca/n1/en/daily-quotidien/250324/dq250324b-eng.pdf?st=D4W2wgd1</vt:lpwstr>
      </vt:variant>
      <vt:variant>
        <vt:lpwstr/>
      </vt:variant>
      <vt:variant>
        <vt:i4>1900619</vt:i4>
      </vt:variant>
      <vt:variant>
        <vt:i4>156</vt:i4>
      </vt:variant>
      <vt:variant>
        <vt:i4>0</vt:i4>
      </vt:variant>
      <vt:variant>
        <vt:i4>5</vt:i4>
      </vt:variant>
      <vt:variant>
        <vt:lpwstr>https://www150.statcan.gc.ca/n1/daily-quotidien/250324/dq250324b-eng.htm</vt:lpwstr>
      </vt:variant>
      <vt:variant>
        <vt:lpwstr/>
      </vt:variant>
      <vt:variant>
        <vt:i4>3276856</vt:i4>
      </vt:variant>
      <vt:variant>
        <vt:i4>153</vt:i4>
      </vt:variant>
      <vt:variant>
        <vt:i4>0</vt:i4>
      </vt:variant>
      <vt:variant>
        <vt:i4>5</vt:i4>
      </vt:variant>
      <vt:variant>
        <vt:lpwstr>https://ictc-ctic.ca/news-events/uncharted-waters-new-research-for-creating-a-canadian-e-learning-framework</vt:lpwstr>
      </vt:variant>
      <vt:variant>
        <vt:lpwstr/>
      </vt:variant>
      <vt:variant>
        <vt:i4>7405670</vt:i4>
      </vt:variant>
      <vt:variant>
        <vt:i4>150</vt:i4>
      </vt:variant>
      <vt:variant>
        <vt:i4>0</vt:i4>
      </vt:variant>
      <vt:variant>
        <vt:i4>5</vt:i4>
      </vt:variant>
      <vt:variant>
        <vt:lpwstr>https://doi.org/10.1177/01626434211054433%5b2%5d(https://journals.sagepub.com/doi/pdf/10.1177/01626434211054433?download=true)</vt:lpwstr>
      </vt:variant>
      <vt:variant>
        <vt:lpwstr/>
      </vt:variant>
      <vt:variant>
        <vt:i4>7864417</vt:i4>
      </vt:variant>
      <vt:variant>
        <vt:i4>147</vt:i4>
      </vt:variant>
      <vt:variant>
        <vt:i4>0</vt:i4>
      </vt:variant>
      <vt:variant>
        <vt:i4>5</vt:i4>
      </vt:variant>
      <vt:variant>
        <vt:lpwstr>https://digital-competence.eu/dc/front/what-is-digital-competence/</vt:lpwstr>
      </vt:variant>
      <vt:variant>
        <vt:lpwstr/>
      </vt:variant>
      <vt:variant>
        <vt:i4>4456531</vt:i4>
      </vt:variant>
      <vt:variant>
        <vt:i4>144</vt:i4>
      </vt:variant>
      <vt:variant>
        <vt:i4>0</vt:i4>
      </vt:variant>
      <vt:variant>
        <vt:i4>5</vt:i4>
      </vt:variant>
      <vt:variant>
        <vt:lpwstr>https://www.industryandbusiness.ca/how-digital-skills-training-is-reshaping-canadian-careers-and-why-it-matters/</vt:lpwstr>
      </vt:variant>
      <vt:variant>
        <vt:lpwstr/>
      </vt:variant>
      <vt:variant>
        <vt:i4>2687091</vt:i4>
      </vt:variant>
      <vt:variant>
        <vt:i4>141</vt:i4>
      </vt:variant>
      <vt:variant>
        <vt:i4>0</vt:i4>
      </vt:variant>
      <vt:variant>
        <vt:i4>5</vt:i4>
      </vt:variant>
      <vt:variant>
        <vt:lpwstr>https://pmctraining.com/articles-and-resources/digital-skills-in-canada-today/</vt:lpwstr>
      </vt:variant>
      <vt:variant>
        <vt:lpwstr/>
      </vt:variant>
      <vt:variant>
        <vt:i4>7929919</vt:i4>
      </vt:variant>
      <vt:variant>
        <vt:i4>138</vt:i4>
      </vt:variant>
      <vt:variant>
        <vt:i4>0</vt:i4>
      </vt:variant>
      <vt:variant>
        <vt:i4>5</vt:i4>
      </vt:variant>
      <vt:variant>
        <vt:lpwstr>https://openpedagogy.org/learning-guide/universal-design-for-learning/</vt:lpwstr>
      </vt:variant>
      <vt:variant>
        <vt:lpwstr/>
      </vt:variant>
      <vt:variant>
        <vt:i4>327764</vt:i4>
      </vt:variant>
      <vt:variant>
        <vt:i4>135</vt:i4>
      </vt:variant>
      <vt:variant>
        <vt:i4>0</vt:i4>
      </vt:variant>
      <vt:variant>
        <vt:i4>5</vt:i4>
      </vt:variant>
      <vt:variant>
        <vt:lpwstr>https://www.torontomu.ca/diversity/reports/Building-Inclusive-Workplaces.pdf</vt:lpwstr>
      </vt:variant>
      <vt:variant>
        <vt:lpwstr/>
      </vt:variant>
      <vt:variant>
        <vt:i4>3735659</vt:i4>
      </vt:variant>
      <vt:variant>
        <vt:i4>132</vt:i4>
      </vt:variant>
      <vt:variant>
        <vt:i4>0</vt:i4>
      </vt:variant>
      <vt:variant>
        <vt:i4>5</vt:i4>
      </vt:variant>
      <vt:variant>
        <vt:lpwstr>https://www.socialconnectedness.org/canadas-digital-divide-and-the-path-to-digital-equity-for-all-ages/</vt:lpwstr>
      </vt:variant>
      <vt:variant>
        <vt:lpwstr/>
      </vt:variant>
      <vt:variant>
        <vt:i4>8192109</vt:i4>
      </vt:variant>
      <vt:variant>
        <vt:i4>129</vt:i4>
      </vt:variant>
      <vt:variant>
        <vt:i4>0</vt:i4>
      </vt:variant>
      <vt:variant>
        <vt:i4>5</vt:i4>
      </vt:variant>
      <vt:variant>
        <vt:lpwstr>https://doi.org/10.22329/jtl.v18i2.7453</vt:lpwstr>
      </vt:variant>
      <vt:variant>
        <vt:lpwstr/>
      </vt:variant>
      <vt:variant>
        <vt:i4>2555966</vt:i4>
      </vt:variant>
      <vt:variant>
        <vt:i4>126</vt:i4>
      </vt:variant>
      <vt:variant>
        <vt:i4>0</vt:i4>
      </vt:variant>
      <vt:variant>
        <vt:i4>5</vt:i4>
      </vt:variant>
      <vt:variant>
        <vt:lpwstr>https://www.montclair.edu/faculty-excellence/ctai-teaching-resources-universal-design-for-learning/</vt:lpwstr>
      </vt:variant>
      <vt:variant>
        <vt:lpwstr/>
      </vt:variant>
      <vt:variant>
        <vt:i4>655449</vt:i4>
      </vt:variant>
      <vt:variant>
        <vt:i4>123</vt:i4>
      </vt:variant>
      <vt:variant>
        <vt:i4>0</vt:i4>
      </vt:variant>
      <vt:variant>
        <vt:i4>5</vt:i4>
      </vt:variant>
      <vt:variant>
        <vt:lpwstr>https://mentorcanada.ca/sites/default/files/2024-06/Mentoring for persons experiencing disability.pdf</vt:lpwstr>
      </vt:variant>
      <vt:variant>
        <vt:lpwstr/>
      </vt:variant>
      <vt:variant>
        <vt:i4>1835102</vt:i4>
      </vt:variant>
      <vt:variant>
        <vt:i4>120</vt:i4>
      </vt:variant>
      <vt:variant>
        <vt:i4>0</vt:i4>
      </vt:variant>
      <vt:variant>
        <vt:i4>5</vt:i4>
      </vt:variant>
      <vt:variant>
        <vt:lpwstr>https://fsc-ccf.ca/wp-content/uploads/2024/10/the-skills-algorithm-digital-skills-demand-across-canadas-labour-market.pdf</vt:lpwstr>
      </vt:variant>
      <vt:variant>
        <vt:lpwstr/>
      </vt:variant>
      <vt:variant>
        <vt:i4>5963779</vt:i4>
      </vt:variant>
      <vt:variant>
        <vt:i4>117</vt:i4>
      </vt:variant>
      <vt:variant>
        <vt:i4>0</vt:i4>
      </vt:variant>
      <vt:variant>
        <vt:i4>5</vt:i4>
      </vt:variant>
      <vt:variant>
        <vt:lpwstr>https://doi.org/10.1016/j.compedu.2019.103695</vt:lpwstr>
      </vt:variant>
      <vt:variant>
        <vt:lpwstr/>
      </vt:variant>
      <vt:variant>
        <vt:i4>7995437</vt:i4>
      </vt:variant>
      <vt:variant>
        <vt:i4>114</vt:i4>
      </vt:variant>
      <vt:variant>
        <vt:i4>0</vt:i4>
      </vt:variant>
      <vt:variant>
        <vt:i4>5</vt:i4>
      </vt:variant>
      <vt:variant>
        <vt:lpwstr>https://nationalmentoringresourcecenter.org/wp-content/uploads/2021/01/Mentoring_for_Youth_with_Disabilities_Population_Review.pdf</vt:lpwstr>
      </vt:variant>
      <vt:variant>
        <vt:lpwstr/>
      </vt:variant>
      <vt:variant>
        <vt:i4>7077938</vt:i4>
      </vt:variant>
      <vt:variant>
        <vt:i4>111</vt:i4>
      </vt:variant>
      <vt:variant>
        <vt:i4>0</vt:i4>
      </vt:variant>
      <vt:variant>
        <vt:i4>5</vt:i4>
      </vt:variant>
      <vt:variant>
        <vt:lpwstr>https://learningcorner.co/knowledge-base/glossary/modular-learning</vt:lpwstr>
      </vt:variant>
      <vt:variant>
        <vt:lpwstr/>
      </vt:variant>
      <vt:variant>
        <vt:i4>6291510</vt:i4>
      </vt:variant>
      <vt:variant>
        <vt:i4>108</vt:i4>
      </vt:variant>
      <vt:variant>
        <vt:i4>0</vt:i4>
      </vt:variant>
      <vt:variant>
        <vt:i4>5</vt:i4>
      </vt:variant>
      <vt:variant>
        <vt:lpwstr>https://assets.kpmg.com/content/dam/kpmg/ca/pdf/2024/11/generative-ai-adoption-index-report-en.pdf</vt:lpwstr>
      </vt:variant>
      <vt:variant>
        <vt:lpwstr/>
      </vt:variant>
      <vt:variant>
        <vt:i4>4980802</vt:i4>
      </vt:variant>
      <vt:variant>
        <vt:i4>105</vt:i4>
      </vt:variant>
      <vt:variant>
        <vt:i4>0</vt:i4>
      </vt:variant>
      <vt:variant>
        <vt:i4>5</vt:i4>
      </vt:variant>
      <vt:variant>
        <vt:lpwstr>https://doi.org/10.1080/1369118X.2021.1897150</vt:lpwstr>
      </vt:variant>
      <vt:variant>
        <vt:lpwstr/>
      </vt:variant>
      <vt:variant>
        <vt:i4>2818166</vt:i4>
      </vt:variant>
      <vt:variant>
        <vt:i4>102</vt:i4>
      </vt:variant>
      <vt:variant>
        <vt:i4>0</vt:i4>
      </vt:variant>
      <vt:variant>
        <vt:i4>5</vt:i4>
      </vt:variant>
      <vt:variant>
        <vt:lpwstr>https://doi.org/10.1016/j.ssmqr.2023.100293</vt:lpwstr>
      </vt:variant>
      <vt:variant>
        <vt:lpwstr/>
      </vt:variant>
      <vt:variant>
        <vt:i4>2490491</vt:i4>
      </vt:variant>
      <vt:variant>
        <vt:i4>99</vt:i4>
      </vt:variant>
      <vt:variant>
        <vt:i4>0</vt:i4>
      </vt:variant>
      <vt:variant>
        <vt:i4>5</vt:i4>
      </vt:variant>
      <vt:variant>
        <vt:lpwstr>https://doi.org/10.1002/ajim.23262</vt:lpwstr>
      </vt:variant>
      <vt:variant>
        <vt:lpwstr/>
      </vt:variant>
      <vt:variant>
        <vt:i4>2031632</vt:i4>
      </vt:variant>
      <vt:variant>
        <vt:i4>96</vt:i4>
      </vt:variant>
      <vt:variant>
        <vt:i4>0</vt:i4>
      </vt:variant>
      <vt:variant>
        <vt:i4>5</vt:i4>
      </vt:variant>
      <vt:variant>
        <vt:lpwstr>https://www.ijfmr.com/papers/2024/1/11923.pdf</vt:lpwstr>
      </vt:variant>
      <vt:variant>
        <vt:lpwstr/>
      </vt:variant>
      <vt:variant>
        <vt:i4>1179653</vt:i4>
      </vt:variant>
      <vt:variant>
        <vt:i4>93</vt:i4>
      </vt:variant>
      <vt:variant>
        <vt:i4>0</vt:i4>
      </vt:variant>
      <vt:variant>
        <vt:i4>5</vt:i4>
      </vt:variant>
      <vt:variant>
        <vt:lpwstr>https://www.iedconline.org/clientuploads/EDRP Logos/AI_Impact_on_Labor_Markets.pdf</vt:lpwstr>
      </vt:variant>
      <vt:variant>
        <vt:lpwstr/>
      </vt:variant>
      <vt:variant>
        <vt:i4>4522055</vt:i4>
      </vt:variant>
      <vt:variant>
        <vt:i4>90</vt:i4>
      </vt:variant>
      <vt:variant>
        <vt:i4>0</vt:i4>
      </vt:variant>
      <vt:variant>
        <vt:i4>5</vt:i4>
      </vt:variant>
      <vt:variant>
        <vt:lpwstr>https://ised-isde.canada.ca/site/high-speed-internet-canada/en/canadas-connectivity-strategy/high-speed-access-all-canadas-connectivity-strategy</vt:lpwstr>
      </vt:variant>
      <vt:variant>
        <vt:lpwstr/>
      </vt:variant>
      <vt:variant>
        <vt:i4>4522071</vt:i4>
      </vt:variant>
      <vt:variant>
        <vt:i4>87</vt:i4>
      </vt:variant>
      <vt:variant>
        <vt:i4>0</vt:i4>
      </vt:variant>
      <vt:variant>
        <vt:i4>5</vt:i4>
      </vt:variant>
      <vt:variant>
        <vt:lpwstr>https://ised-isde.canada.ca/site/digital-literacy-exchange-program/en</vt:lpwstr>
      </vt:variant>
      <vt:variant>
        <vt:lpwstr/>
      </vt:variant>
      <vt:variant>
        <vt:i4>2883640</vt:i4>
      </vt:variant>
      <vt:variant>
        <vt:i4>84</vt:i4>
      </vt:variant>
      <vt:variant>
        <vt:i4>0</vt:i4>
      </vt:variant>
      <vt:variant>
        <vt:i4>5</vt:i4>
      </vt:variant>
      <vt:variant>
        <vt:lpwstr>https://ised-isde.canada.ca/site/connecting-families/en</vt:lpwstr>
      </vt:variant>
      <vt:variant>
        <vt:lpwstr/>
      </vt:variant>
      <vt:variant>
        <vt:i4>131162</vt:i4>
      </vt:variant>
      <vt:variant>
        <vt:i4>81</vt:i4>
      </vt:variant>
      <vt:variant>
        <vt:i4>0</vt:i4>
      </vt:variant>
      <vt:variant>
        <vt:i4>5</vt:i4>
      </vt:variant>
      <vt:variant>
        <vt:lpwstr>https://ised-isde.canada.ca/site/innovation-better-canada/en/canadas-digital-charter-trust-digital-world</vt:lpwstr>
      </vt:variant>
      <vt:variant>
        <vt:lpwstr/>
      </vt:variant>
      <vt:variant>
        <vt:i4>4456531</vt:i4>
      </vt:variant>
      <vt:variant>
        <vt:i4>78</vt:i4>
      </vt:variant>
      <vt:variant>
        <vt:i4>0</vt:i4>
      </vt:variant>
      <vt:variant>
        <vt:i4>5</vt:i4>
      </vt:variant>
      <vt:variant>
        <vt:lpwstr>https://www.industryandbusiness.ca/how-digital-skills-training-is-reshaping-canadian-careers-and-why-it-matters/</vt:lpwstr>
      </vt:variant>
      <vt:variant>
        <vt:lpwstr/>
      </vt:variant>
      <vt:variant>
        <vt:i4>655362</vt:i4>
      </vt:variant>
      <vt:variant>
        <vt:i4>75</vt:i4>
      </vt:variant>
      <vt:variant>
        <vt:i4>0</vt:i4>
      </vt:variant>
      <vt:variant>
        <vt:i4>5</vt:i4>
      </vt:variant>
      <vt:variant>
        <vt:lpwstr>https://www150.statcan.gc.ca/n1/en/catalogue/89-654-X2024001</vt:lpwstr>
      </vt:variant>
      <vt:variant>
        <vt:lpwstr/>
      </vt:variant>
      <vt:variant>
        <vt:i4>393301</vt:i4>
      </vt:variant>
      <vt:variant>
        <vt:i4>72</vt:i4>
      </vt:variant>
      <vt:variant>
        <vt:i4>0</vt:i4>
      </vt:variant>
      <vt:variant>
        <vt:i4>5</vt:i4>
      </vt:variant>
      <vt:variant>
        <vt:lpwstr>https://www150.statcan.gc.ca/n1/pub/89-654-x/89-654-x2025004-eng.htm</vt:lpwstr>
      </vt:variant>
      <vt:variant>
        <vt:lpwstr/>
      </vt:variant>
      <vt:variant>
        <vt:i4>3997796</vt:i4>
      </vt:variant>
      <vt:variant>
        <vt:i4>69</vt:i4>
      </vt:variant>
      <vt:variant>
        <vt:i4>0</vt:i4>
      </vt:variant>
      <vt:variant>
        <vt:i4>5</vt:i4>
      </vt:variant>
      <vt:variant>
        <vt:lpwstr>https://doi.org/10.1145/3663548.3675666</vt:lpwstr>
      </vt:variant>
      <vt:variant>
        <vt:lpwstr/>
      </vt:variant>
      <vt:variant>
        <vt:i4>1245190</vt:i4>
      </vt:variant>
      <vt:variant>
        <vt:i4>66</vt:i4>
      </vt:variant>
      <vt:variant>
        <vt:i4>0</vt:i4>
      </vt:variant>
      <vt:variant>
        <vt:i4>5</vt:i4>
      </vt:variant>
      <vt:variant>
        <vt:lpwstr>https://doi.org/10.1068/a452</vt:lpwstr>
      </vt:variant>
      <vt:variant>
        <vt:lpwstr/>
      </vt:variant>
      <vt:variant>
        <vt:i4>1376262</vt:i4>
      </vt:variant>
      <vt:variant>
        <vt:i4>63</vt:i4>
      </vt:variant>
      <vt:variant>
        <vt:i4>0</vt:i4>
      </vt:variant>
      <vt:variant>
        <vt:i4>5</vt:i4>
      </vt:variant>
      <vt:variant>
        <vt:lpwstr>https://www.theglobeandmail.com/business/adv/article-more-canadians-are-back-in-the-office-heres-what-experts-say-will-help/</vt:lpwstr>
      </vt:variant>
      <vt:variant>
        <vt:lpwstr/>
      </vt:variant>
      <vt:variant>
        <vt:i4>2555990</vt:i4>
      </vt:variant>
      <vt:variant>
        <vt:i4>60</vt:i4>
      </vt:variant>
      <vt:variant>
        <vt:i4>0</vt:i4>
      </vt:variant>
      <vt:variant>
        <vt:i4>5</vt:i4>
      </vt:variant>
      <vt:variant>
        <vt:lpwstr>https://fsc-ccf.ca/wp-content/uploads/2022/09/The-shift-to-remote-work_How-workers-in-Canada-are-adapting-to-working-from-home.pdf</vt:lpwstr>
      </vt:variant>
      <vt:variant>
        <vt:lpwstr/>
      </vt:variant>
      <vt:variant>
        <vt:i4>1310745</vt:i4>
      </vt:variant>
      <vt:variant>
        <vt:i4>57</vt:i4>
      </vt:variant>
      <vt:variant>
        <vt:i4>0</vt:i4>
      </vt:variant>
      <vt:variant>
        <vt:i4>5</vt:i4>
      </vt:variant>
      <vt:variant>
        <vt:lpwstr>https://doi.org/10.3389/feduc.2024.123456</vt:lpwstr>
      </vt:variant>
      <vt:variant>
        <vt:lpwstr/>
      </vt:variant>
      <vt:variant>
        <vt:i4>1441823</vt:i4>
      </vt:variant>
      <vt:variant>
        <vt:i4>54</vt:i4>
      </vt:variant>
      <vt:variant>
        <vt:i4>0</vt:i4>
      </vt:variant>
      <vt:variant>
        <vt:i4>5</vt:i4>
      </vt:variant>
      <vt:variant>
        <vt:lpwstr>https://fastercapital.com/content/Community-engagement-initiatives--Digital-Literacy-Programs--Bridging-the-Gap--Digital-Literacy-Programs-in-Modern-Communities.html</vt:lpwstr>
      </vt:variant>
      <vt:variant>
        <vt:lpwstr/>
      </vt:variant>
      <vt:variant>
        <vt:i4>7012454</vt:i4>
      </vt:variant>
      <vt:variant>
        <vt:i4>51</vt:i4>
      </vt:variant>
      <vt:variant>
        <vt:i4>0</vt:i4>
      </vt:variant>
      <vt:variant>
        <vt:i4>5</vt:i4>
      </vt:variant>
      <vt:variant>
        <vt:lpwstr>https://doi.org/10.46328/ijtes.364</vt:lpwstr>
      </vt:variant>
      <vt:variant>
        <vt:lpwstr/>
      </vt:variant>
      <vt:variant>
        <vt:i4>5898247</vt:i4>
      </vt:variant>
      <vt:variant>
        <vt:i4>48</vt:i4>
      </vt:variant>
      <vt:variant>
        <vt:i4>0</vt:i4>
      </vt:variant>
      <vt:variant>
        <vt:i4>5</vt:i4>
      </vt:variant>
      <vt:variant>
        <vt:lpwstr>https://www.canada.ca/en/services/jobs/training/initiatives/skills-success/understanding-individuals.html</vt:lpwstr>
      </vt:variant>
      <vt:variant>
        <vt:lpwstr/>
      </vt:variant>
      <vt:variant>
        <vt:i4>5111898</vt:i4>
      </vt:variant>
      <vt:variant>
        <vt:i4>45</vt:i4>
      </vt:variant>
      <vt:variant>
        <vt:i4>0</vt:i4>
      </vt:variant>
      <vt:variant>
        <vt:i4>5</vt:i4>
      </vt:variant>
      <vt:variant>
        <vt:lpwstr>https://digitalfractal.com/digital-adaptation-indigenous-communities/</vt:lpwstr>
      </vt:variant>
      <vt:variant>
        <vt:lpwstr/>
      </vt:variant>
      <vt:variant>
        <vt:i4>393246</vt:i4>
      </vt:variant>
      <vt:variant>
        <vt:i4>42</vt:i4>
      </vt:variant>
      <vt:variant>
        <vt:i4>0</vt:i4>
      </vt:variant>
      <vt:variant>
        <vt:i4>5</vt:i4>
      </vt:variant>
      <vt:variant>
        <vt:lpwstr>https://fsc-ccf.ca/wp-content/uploads/2023/05/digital-skills-and-the-skills-gap-.pdf</vt:lpwstr>
      </vt:variant>
      <vt:variant>
        <vt:lpwstr/>
      </vt:variant>
      <vt:variant>
        <vt:i4>6291570</vt:i4>
      </vt:variant>
      <vt:variant>
        <vt:i4>39</vt:i4>
      </vt:variant>
      <vt:variant>
        <vt:i4>0</vt:i4>
      </vt:variant>
      <vt:variant>
        <vt:i4>5</vt:i4>
      </vt:variant>
      <vt:variant>
        <vt:lpwstr>https://www.idra.org/resource-center/youth-centered-programs-help-to-bridge-the-digital-divide-in-underserved-communities/</vt:lpwstr>
      </vt:variant>
      <vt:variant>
        <vt:lpwstr/>
      </vt:variant>
      <vt:variant>
        <vt:i4>1245207</vt:i4>
      </vt:variant>
      <vt:variant>
        <vt:i4>36</vt:i4>
      </vt:variant>
      <vt:variant>
        <vt:i4>0</vt:i4>
      </vt:variant>
      <vt:variant>
        <vt:i4>5</vt:i4>
      </vt:variant>
      <vt:variant>
        <vt:lpwstr>https://www.continualengine.com/blog/wcag-2-2-compliance/</vt:lpwstr>
      </vt:variant>
      <vt:variant>
        <vt:lpwstr/>
      </vt:variant>
      <vt:variant>
        <vt:i4>393230</vt:i4>
      </vt:variant>
      <vt:variant>
        <vt:i4>33</vt:i4>
      </vt:variant>
      <vt:variant>
        <vt:i4>0</vt:i4>
      </vt:variant>
      <vt:variant>
        <vt:i4>5</vt:i4>
      </vt:variant>
      <vt:variant>
        <vt:lpwstr>https://connectednation.org/blog/enhancing-digital-equity-the-importance-of-digital-literacy-programs</vt:lpwstr>
      </vt:variant>
      <vt:variant>
        <vt:lpwstr/>
      </vt:variant>
      <vt:variant>
        <vt:i4>3276923</vt:i4>
      </vt:variant>
      <vt:variant>
        <vt:i4>30</vt:i4>
      </vt:variant>
      <vt:variant>
        <vt:i4>0</vt:i4>
      </vt:variant>
      <vt:variant>
        <vt:i4>5</vt:i4>
      </vt:variant>
      <vt:variant>
        <vt:lpwstr>https://www.collegesinstitutes.ca/moving-learning-and-teaching-online/</vt:lpwstr>
      </vt:variant>
      <vt:variant>
        <vt:lpwstr/>
      </vt:variant>
      <vt:variant>
        <vt:i4>3670048</vt:i4>
      </vt:variant>
      <vt:variant>
        <vt:i4>27</vt:i4>
      </vt:variant>
      <vt:variant>
        <vt:i4>0</vt:i4>
      </vt:variant>
      <vt:variant>
        <vt:i4>5</vt:i4>
      </vt:variant>
      <vt:variant>
        <vt:lpwstr>https://doi.org/10.1007/978-3-319-08596-8_4%5b1%5d(https://link.springer.com/chapter/10.1007/978-3-319-08596-8_4)</vt:lpwstr>
      </vt:variant>
      <vt:variant>
        <vt:lpwstr/>
      </vt:variant>
      <vt:variant>
        <vt:i4>1376322</vt:i4>
      </vt:variant>
      <vt:variant>
        <vt:i4>24</vt:i4>
      </vt:variant>
      <vt:variant>
        <vt:i4>0</vt:i4>
      </vt:variant>
      <vt:variant>
        <vt:i4>5</vt:i4>
      </vt:variant>
      <vt:variant>
        <vt:lpwstr>https://www150.statcan.gc.ca/n1/pub/11-621-m/11-621-m2025011-eng.htm</vt:lpwstr>
      </vt:variant>
      <vt:variant>
        <vt:lpwstr/>
      </vt:variant>
      <vt:variant>
        <vt:i4>589913</vt:i4>
      </vt:variant>
      <vt:variant>
        <vt:i4>21</vt:i4>
      </vt:variant>
      <vt:variant>
        <vt:i4>0</vt:i4>
      </vt:variant>
      <vt:variant>
        <vt:i4>5</vt:i4>
      </vt:variant>
      <vt:variant>
        <vt:lpwstr>https://www.brookings.edu/articles/six-key-steps-for-improving-equality-and-efficiency-in-digital-public-infrastructure/</vt:lpwstr>
      </vt:variant>
      <vt:variant>
        <vt:lpwstr/>
      </vt:variant>
      <vt:variant>
        <vt:i4>4784207</vt:i4>
      </vt:variant>
      <vt:variant>
        <vt:i4>18</vt:i4>
      </vt:variant>
      <vt:variant>
        <vt:i4>0</vt:i4>
      </vt:variant>
      <vt:variant>
        <vt:i4>5</vt:i4>
      </vt:variant>
      <vt:variant>
        <vt:lpwstr>https://www.cnbc.com/2025/09/26/accenture-plans-on-exiting-staff-who-cant-be-reskilled-on-ai.html</vt:lpwstr>
      </vt:variant>
      <vt:variant>
        <vt:lpwstr/>
      </vt:variant>
      <vt:variant>
        <vt:i4>7667835</vt:i4>
      </vt:variant>
      <vt:variant>
        <vt:i4>15</vt:i4>
      </vt:variant>
      <vt:variant>
        <vt:i4>0</vt:i4>
      </vt:variant>
      <vt:variant>
        <vt:i4>5</vt:i4>
      </vt:variant>
      <vt:variant>
        <vt:lpwstr>https://dougbelshaw.com/essential-elements-book.pdf</vt:lpwstr>
      </vt:variant>
      <vt:variant>
        <vt:lpwstr/>
      </vt:variant>
      <vt:variant>
        <vt:i4>2293792</vt:i4>
      </vt:variant>
      <vt:variant>
        <vt:i4>12</vt:i4>
      </vt:variant>
      <vt:variant>
        <vt:i4>0</vt:i4>
      </vt:variant>
      <vt:variant>
        <vt:i4>5</vt:i4>
      </vt:variant>
      <vt:variant>
        <vt:lpwstr>https://www.aoda.ca/accessible-webpages-and-documents/</vt:lpwstr>
      </vt:variant>
      <vt:variant>
        <vt:lpwstr/>
      </vt:variant>
      <vt:variant>
        <vt:i4>3670065</vt:i4>
      </vt:variant>
      <vt:variant>
        <vt:i4>9</vt:i4>
      </vt:variant>
      <vt:variant>
        <vt:i4>0</vt:i4>
      </vt:variant>
      <vt:variant>
        <vt:i4>5</vt:i4>
      </vt:variant>
      <vt:variant>
        <vt:lpwstr>https://theconversation.com/ai-is-changing-who-gets-hired-what-skills-will-keep-you-employed-267376</vt:lpwstr>
      </vt:variant>
      <vt:variant>
        <vt:lpwstr/>
      </vt:variant>
      <vt:variant>
        <vt:i4>7012466</vt:i4>
      </vt:variant>
      <vt:variant>
        <vt:i4>6</vt:i4>
      </vt:variant>
      <vt:variant>
        <vt:i4>0</vt:i4>
      </vt:variant>
      <vt:variant>
        <vt:i4>5</vt:i4>
      </vt:variant>
      <vt:variant>
        <vt:lpwstr>https://accessible.canada.ca/creating-accessibility-standards/can-asc-112024-rev-2025-employment/10-structural-support-policy-and-leadership-systems-policies-and-practices</vt:lpwstr>
      </vt:variant>
      <vt:variant>
        <vt:lpwstr/>
      </vt:variant>
      <vt:variant>
        <vt:i4>1507353</vt:i4>
      </vt:variant>
      <vt:variant>
        <vt:i4>3</vt:i4>
      </vt:variant>
      <vt:variant>
        <vt:i4>0</vt:i4>
      </vt:variant>
      <vt:variant>
        <vt:i4>5</vt:i4>
      </vt:variant>
      <vt:variant>
        <vt:lpwstr>https://accessible.canada.ca/creating-accessibility-standards/canasc-en-301-5492024-accessibility-requirements-ict-products-and-services</vt:lpwstr>
      </vt:variant>
      <vt:variant>
        <vt:lpwstr/>
      </vt:variant>
      <vt:variant>
        <vt:i4>4325461</vt:i4>
      </vt:variant>
      <vt:variant>
        <vt:i4>0</vt:i4>
      </vt:variant>
      <vt:variant>
        <vt:i4>0</vt:i4>
      </vt:variant>
      <vt:variant>
        <vt:i4>5</vt:i4>
      </vt:variant>
      <vt:variant>
        <vt:lpwstr>https://ccrw.org/resource/elearning-courses/</vt:lpwstr>
      </vt:variant>
      <vt:variant>
        <vt:lpwstr/>
      </vt:variant>
      <vt:variant>
        <vt:i4>4259965</vt:i4>
      </vt:variant>
      <vt:variant>
        <vt:i4>0</vt:i4>
      </vt:variant>
      <vt:variant>
        <vt:i4>0</vt:i4>
      </vt:variant>
      <vt:variant>
        <vt:i4>5</vt:i4>
      </vt:variant>
      <vt:variant>
        <vt:lpwstr>mailto:mpagliaro@ccrw.org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Pagliaro</dc:creator>
  <cp:keywords/>
  <dc:description/>
  <cp:lastModifiedBy>Vanessa Sinclair</cp:lastModifiedBy>
  <cp:revision>1441</cp:revision>
  <dcterms:created xsi:type="dcterms:W3CDTF">2025-07-17T22:03:00Z</dcterms:created>
  <dcterms:modified xsi:type="dcterms:W3CDTF">2025-11-27T21:41:00Z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0x010100C7049466ED47D84B82E788DEF7228A87</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e6615442-b1e1-4b36-bbb0-2cd446c2de12</vt:lpwstr>
  </property>
</Properties>
</file>