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16C20" w14:textId="502CFDAE" w:rsidR="003E22BB" w:rsidRDefault="003E22BB" w:rsidP="00E10A04">
      <w:pPr>
        <w:pStyle w:val="Heading1"/>
        <w:rPr>
          <w:rFonts w:eastAsia="Times New Roman"/>
        </w:rPr>
      </w:pPr>
      <w:r>
        <w:rPr>
          <w:rFonts w:eastAsia="Times New Roman"/>
        </w:rPr>
        <w:t>Executive Summary</w:t>
      </w:r>
    </w:p>
    <w:p w14:paraId="00D6A247" w14:textId="77777777" w:rsidR="00667695" w:rsidRDefault="00667695">
      <w:pPr>
        <w:rPr>
          <w:kern w:val="0"/>
          <w14:ligatures w14:val="none"/>
        </w:rPr>
      </w:pPr>
      <w:r>
        <w:t xml:space="preserve">In 2026, the Canadian Council on Rehabilitation and Work (CCRW) marks its 50th anniversary. To celebrate this milestone and accelerate progress, CCRW is launching a national campaign to engage </w:t>
      </w:r>
      <w:r>
        <w:rPr>
          <w:b/>
          <w:bCs/>
        </w:rPr>
        <w:t>50 employers</w:t>
      </w:r>
      <w:r>
        <w:t xml:space="preserve"> to take the pledge to become </w:t>
      </w:r>
      <w:r>
        <w:rPr>
          <w:b/>
          <w:bCs/>
        </w:rPr>
        <w:t>Disability Confident Employers</w:t>
      </w:r>
      <w:r>
        <w:t>. The pledge is a practical commitment to remove barriers, strengthen workplace accessibility, and create consistent, respectful experiences for candidates and employees with disabilities.</w:t>
      </w:r>
    </w:p>
    <w:p w14:paraId="0DCACFC7" w14:textId="77777777" w:rsidR="00667695" w:rsidRDefault="00667695">
      <w:pPr>
        <w:rPr>
          <w:kern w:val="0"/>
          <w14:ligatures w14:val="none"/>
        </w:rPr>
      </w:pPr>
      <w:r>
        <w:t>This white paper summarizes what business leaders told us about current practices, and where the largest gaps remain. The findings point to a clear conclusion: disability confidence is built through straightforward systems that leaders can own and measure, including clear adjustment pathways, a formal process to surface and resolve barriers, accessibility reviews across the employment lifecycle, manager training, and regular consultation with people with disabilities that leads to public commitments.</w:t>
      </w:r>
    </w:p>
    <w:p w14:paraId="405086C9" w14:textId="23988A6E" w:rsidR="00667695" w:rsidRDefault="00667695" w:rsidP="00667695">
      <w:pPr>
        <w:numPr>
          <w:ilvl w:val="0"/>
          <w:numId w:val="5"/>
        </w:numPr>
        <w:spacing w:line="240" w:lineRule="auto"/>
        <w:rPr>
          <w:rFonts w:eastAsia="Times New Roman"/>
          <w:kern w:val="0"/>
          <w14:ligatures w14:val="none"/>
        </w:rPr>
      </w:pPr>
      <w:r>
        <w:rPr>
          <w:rFonts w:eastAsia="Times New Roman"/>
          <w:b/>
          <w:bCs/>
        </w:rPr>
        <w:t>The 49% gap in workplace adjustments:</w:t>
      </w:r>
      <w:r>
        <w:rPr>
          <w:rFonts w:eastAsia="Times New Roman"/>
        </w:rPr>
        <w:t xml:space="preserve"> Nearly half of leaders reported adjustments are not actively promoted or consistently provided</w:t>
      </w:r>
      <w:r w:rsidR="00C76C7B">
        <w:rPr>
          <w:rFonts w:eastAsia="Times New Roman"/>
        </w:rPr>
        <w:t xml:space="preserve"> [1]</w:t>
      </w:r>
      <w:r>
        <w:rPr>
          <w:rFonts w:eastAsia="Times New Roman"/>
        </w:rPr>
        <w:t>. This creates avoidable performance and retention risk, and it signals that employees may not know what supports are available or how to request them.</w:t>
      </w:r>
    </w:p>
    <w:p w14:paraId="6C4FAFC6" w14:textId="444B1BB6" w:rsidR="00667695" w:rsidRDefault="00667695" w:rsidP="00667695">
      <w:pPr>
        <w:numPr>
          <w:ilvl w:val="0"/>
          <w:numId w:val="5"/>
        </w:numPr>
        <w:spacing w:line="240" w:lineRule="auto"/>
        <w:rPr>
          <w:rFonts w:eastAsia="Times New Roman"/>
        </w:rPr>
      </w:pPr>
      <w:r>
        <w:rPr>
          <w:rFonts w:eastAsia="Times New Roman"/>
          <w:b/>
          <w:bCs/>
        </w:rPr>
        <w:t>The 64% gap in barrier removal processes:</w:t>
      </w:r>
      <w:r>
        <w:rPr>
          <w:rFonts w:eastAsia="Times New Roman"/>
        </w:rPr>
        <w:t xml:space="preserve"> Nearly two-thirds reported they do not have a formal process to identify, address, and remove barriers</w:t>
      </w:r>
      <w:r w:rsidR="00C76C7B">
        <w:rPr>
          <w:rFonts w:eastAsia="Times New Roman"/>
        </w:rPr>
        <w:t xml:space="preserve"> [1]</w:t>
      </w:r>
      <w:r>
        <w:rPr>
          <w:rFonts w:eastAsia="Times New Roman"/>
        </w:rPr>
        <w:t>. Without a clear route and ownership, barriers are missed, concerns go unreported, and accountability becomes unclear.</w:t>
      </w:r>
    </w:p>
    <w:p w14:paraId="48172834" w14:textId="35092436" w:rsidR="00667695" w:rsidRDefault="00667695" w:rsidP="00667695">
      <w:pPr>
        <w:numPr>
          <w:ilvl w:val="0"/>
          <w:numId w:val="5"/>
        </w:numPr>
        <w:spacing w:line="240" w:lineRule="auto"/>
        <w:rPr>
          <w:rFonts w:eastAsia="Times New Roman"/>
        </w:rPr>
      </w:pPr>
      <w:r>
        <w:rPr>
          <w:rFonts w:eastAsia="Times New Roman"/>
          <w:b/>
          <w:bCs/>
        </w:rPr>
        <w:t>The 70% gap in lifecycle accessibility reviews:</w:t>
      </w:r>
      <w:r>
        <w:rPr>
          <w:rFonts w:eastAsia="Times New Roman"/>
        </w:rPr>
        <w:t xml:space="preserve"> Seven in ten reported they have not reviewed accessibility across the phases of employment</w:t>
      </w:r>
      <w:r w:rsidR="00C76C7B">
        <w:rPr>
          <w:rFonts w:eastAsia="Times New Roman"/>
        </w:rPr>
        <w:t xml:space="preserve"> [1]</w:t>
      </w:r>
      <w:r>
        <w:rPr>
          <w:rFonts w:eastAsia="Times New Roman"/>
        </w:rPr>
        <w:t>. This end-to-end blind spot can limit talent pipelines, affect advancement, and weaken inclusion commitments.</w:t>
      </w:r>
    </w:p>
    <w:p w14:paraId="3B6E34AC" w14:textId="65DEE27F" w:rsidR="00667695" w:rsidRDefault="00667695" w:rsidP="00667695">
      <w:pPr>
        <w:numPr>
          <w:ilvl w:val="0"/>
          <w:numId w:val="5"/>
        </w:numPr>
        <w:spacing w:line="240" w:lineRule="auto"/>
        <w:rPr>
          <w:rFonts w:eastAsia="Times New Roman"/>
        </w:rPr>
      </w:pPr>
      <w:r>
        <w:rPr>
          <w:rFonts w:eastAsia="Times New Roman"/>
          <w:b/>
          <w:bCs/>
        </w:rPr>
        <w:t>The 70% gap in leadership training:</w:t>
      </w:r>
      <w:r>
        <w:rPr>
          <w:rFonts w:eastAsia="Times New Roman"/>
        </w:rPr>
        <w:t xml:space="preserve"> Seven in ten indicated leaders do not receive training to address disability-related myths, misconceptions, and bias</w:t>
      </w:r>
      <w:r w:rsidR="00C76C7B">
        <w:rPr>
          <w:rFonts w:eastAsia="Times New Roman"/>
        </w:rPr>
        <w:t xml:space="preserve"> [1]</w:t>
      </w:r>
      <w:r>
        <w:rPr>
          <w:rFonts w:eastAsia="Times New Roman"/>
        </w:rPr>
        <w:t>. Because managers shape hiring and day-to-day experience, this gap shows up as inconsistent practices and preventable friction.</w:t>
      </w:r>
    </w:p>
    <w:p w14:paraId="0DE785E6" w14:textId="093829C6" w:rsidR="00667695" w:rsidRDefault="00667695" w:rsidP="00667695">
      <w:pPr>
        <w:numPr>
          <w:ilvl w:val="0"/>
          <w:numId w:val="5"/>
        </w:numPr>
        <w:spacing w:line="240" w:lineRule="auto"/>
        <w:rPr>
          <w:rFonts w:eastAsia="Times New Roman"/>
        </w:rPr>
      </w:pPr>
      <w:r>
        <w:rPr>
          <w:rFonts w:eastAsia="Times New Roman"/>
          <w:b/>
          <w:bCs/>
        </w:rPr>
        <w:t>The 86% gap in feedback and public commitments:</w:t>
      </w:r>
      <w:r>
        <w:rPr>
          <w:rFonts w:eastAsia="Times New Roman"/>
        </w:rPr>
        <w:t xml:space="preserve"> Only 14% reported gathering feedback from people with disabilities and then publicly committing to actions with clear owners and timelines</w:t>
      </w:r>
      <w:r w:rsidR="00C76C7B">
        <w:rPr>
          <w:rFonts w:eastAsia="Times New Roman"/>
        </w:rPr>
        <w:t xml:space="preserve"> [1]</w:t>
      </w:r>
      <w:r>
        <w:rPr>
          <w:rFonts w:eastAsia="Times New Roman"/>
        </w:rPr>
        <w:t>. Without consultation and visible follow-through, trust declines and progress is difficult to measure.</w:t>
      </w:r>
    </w:p>
    <w:p w14:paraId="0AAFB704" w14:textId="77777777" w:rsidR="00667695" w:rsidRDefault="00667695">
      <w:pPr>
        <w:rPr>
          <w:kern w:val="0"/>
          <w14:ligatures w14:val="none"/>
        </w:rPr>
      </w:pPr>
      <w:r>
        <w:t>CCRW is inviting 50 employers to take the Disability Confident Employer pledge as part of our 50th anniversary campaign. These findings show that disability confidence is not built through one-off actions. It is built through consistent systems and leader behaviours that make accessibility real in everyday work. By taking the pledge, employers signal to current and prospective employees that accessibility is a business priority, supported by clear actions, accountability, and continuous improvement.</w:t>
      </w:r>
    </w:p>
    <w:p w14:paraId="73C4EAFD" w14:textId="1E446F60" w:rsidR="004013CE" w:rsidRDefault="004013CE" w:rsidP="00E10A04">
      <w:pPr>
        <w:pStyle w:val="Heading1"/>
        <w:rPr>
          <w:rFonts w:eastAsia="Times New Roman"/>
          <w:kern w:val="36"/>
          <w14:ligatures w14:val="none"/>
        </w:rPr>
      </w:pPr>
      <w:r>
        <w:rPr>
          <w:rFonts w:eastAsia="Times New Roman"/>
        </w:rPr>
        <w:lastRenderedPageBreak/>
        <w:t>The 49% Gap in Workplace Adjustments—And How Employers Can Close It</w:t>
      </w:r>
    </w:p>
    <w:p w14:paraId="24DD432F" w14:textId="58BB5DDE" w:rsidR="0068150A" w:rsidRDefault="0068150A">
      <w:pPr>
        <w:rPr>
          <w:kern w:val="0"/>
          <w14:ligatures w14:val="none"/>
        </w:rPr>
      </w:pPr>
      <w:r>
        <w:rPr>
          <w:b/>
          <w:bCs/>
        </w:rPr>
        <w:t>Nearly half of business leaders (49%) say their organizations do not actively promote workplace adjustments or consistently provide them</w:t>
      </w:r>
      <w:r w:rsidR="003F7824">
        <w:rPr>
          <w:b/>
          <w:bCs/>
        </w:rPr>
        <w:t xml:space="preserve"> [1]</w:t>
      </w:r>
      <w:r>
        <w:rPr>
          <w:b/>
          <w:bCs/>
        </w:rPr>
        <w:t>.</w:t>
      </w:r>
      <w:r>
        <w:t xml:space="preserve"> For HR and executives, that number is more than a statistic</w:t>
      </w:r>
      <w:r w:rsidR="00423F8B">
        <w:t xml:space="preserve">, </w:t>
      </w:r>
      <w:r>
        <w:t>it signals an avoidable performance and retention risk, and a missed opportunity to build a workplace where more people can do their best work.</w:t>
      </w:r>
    </w:p>
    <w:p w14:paraId="17E94AE7" w14:textId="2D4EFE21" w:rsidR="0068150A" w:rsidRDefault="0068150A">
      <w:pPr>
        <w:rPr>
          <w:kern w:val="0"/>
          <w14:ligatures w14:val="none"/>
        </w:rPr>
      </w:pPr>
      <w:r>
        <w:t xml:space="preserve">Barriers begin </w:t>
      </w:r>
      <w:r w:rsidR="00B344BD">
        <w:t>early in the employment lifecycle</w:t>
      </w:r>
      <w:r w:rsidR="00423F8B">
        <w:t>:</w:t>
      </w:r>
      <w:r w:rsidR="00A1142B">
        <w:t xml:space="preserve"> </w:t>
      </w:r>
      <w:r>
        <w:t>68% of candidates with disabilities reported an accessibility barrier in the hiring process; and among those, 32% identified accommodation-related issues (e.g., unmet requests, not knowing how to request, or being unaware accommodations were available)</w:t>
      </w:r>
      <w:r w:rsidR="003F7824">
        <w:t xml:space="preserve"> [2]</w:t>
      </w:r>
      <w:r>
        <w:t>.</w:t>
      </w:r>
    </w:p>
    <w:p w14:paraId="317A83DF" w14:textId="7C5B5EC2" w:rsidR="005411B8" w:rsidRDefault="005411B8" w:rsidP="005411B8">
      <w:pPr>
        <w:pStyle w:val="Heading2"/>
      </w:pPr>
      <w:r>
        <w:t>Why the hesitancy from employers?</w:t>
      </w:r>
    </w:p>
    <w:p w14:paraId="58C6DD50" w14:textId="575F84B6" w:rsidR="0068150A" w:rsidRDefault="0068150A">
      <w:pPr>
        <w:rPr>
          <w:kern w:val="0"/>
          <w14:ligatures w14:val="none"/>
        </w:rPr>
      </w:pPr>
      <w:r>
        <w:t>Cost is a common</w:t>
      </w:r>
      <w:r w:rsidR="00A1142B">
        <w:t xml:space="preserve">, </w:t>
      </w:r>
      <w:r>
        <w:t>and often overstated</w:t>
      </w:r>
      <w:r w:rsidR="00A1142B">
        <w:t xml:space="preserve">, </w:t>
      </w:r>
      <w:r>
        <w:t>concern. An evidence review of 47 studies found one of the most frequently cited employer barriers was the perception that accommodating workers with disabilities would be expensive</w:t>
      </w:r>
      <w:r w:rsidR="003F7824">
        <w:t xml:space="preserve"> [3]</w:t>
      </w:r>
      <w:r>
        <w:t>. In practice, many adjustments are low-cost or no-cost: nearly two-thirds of workers with disabilities require no workplace adjustments, and many of the most requested supports have no direct cost</w:t>
      </w:r>
      <w:r w:rsidR="00D13CFA">
        <w:t xml:space="preserve"> [4]</w:t>
      </w:r>
      <w:r>
        <w:t>. Based on CCRW’s experience supporting employers and job seekers, the average one-time cost of paid accommodations is about $375</w:t>
      </w:r>
      <w:r w:rsidR="00A1142B">
        <w:t xml:space="preserve">, </w:t>
      </w:r>
      <w:r>
        <w:t>often less than the cost of replacing a valued employee or leaving a role unfilled</w:t>
      </w:r>
      <w:r w:rsidR="0031552C">
        <w:t xml:space="preserve"> [5]</w:t>
      </w:r>
      <w:r>
        <w:t>.</w:t>
      </w:r>
    </w:p>
    <w:p w14:paraId="1B333AD7" w14:textId="09704189" w:rsidR="005357E1" w:rsidRDefault="005357E1" w:rsidP="005357E1">
      <w:pPr>
        <w:pStyle w:val="Heading2"/>
      </w:pPr>
      <w:r>
        <w:t>What needs to be done?</w:t>
      </w:r>
    </w:p>
    <w:p w14:paraId="294BA876" w14:textId="68E7FA8C" w:rsidR="0068150A" w:rsidRDefault="00E50A01">
      <w:pPr>
        <w:rPr>
          <w:kern w:val="0"/>
          <w14:ligatures w14:val="none"/>
        </w:rPr>
      </w:pPr>
      <w:r>
        <w:t>Employers</w:t>
      </w:r>
      <w:r w:rsidR="0068150A">
        <w:t xml:space="preserve"> can act now by making a</w:t>
      </w:r>
      <w:r w:rsidR="00121259">
        <w:t>ccessibility supports</w:t>
      </w:r>
      <w:r w:rsidR="0068150A">
        <w:t xml:space="preserve"> easy to request, straightforward to deliver, and consistently communicated.</w:t>
      </w:r>
      <w:r>
        <w:t xml:space="preserve"> We recommend they partner with an employment support provider who specializes in workplace accommodations.</w:t>
      </w:r>
    </w:p>
    <w:p w14:paraId="07D3D8D4" w14:textId="77777777" w:rsidR="0068150A" w:rsidRDefault="0068150A">
      <w:pPr>
        <w:rPr>
          <w:kern w:val="0"/>
          <w14:ligatures w14:val="none"/>
        </w:rPr>
      </w:pPr>
      <w:r>
        <w:rPr>
          <w:b/>
          <w:bCs/>
        </w:rPr>
        <w:t>A practical starting point for HR and leaders:</w:t>
      </w:r>
    </w:p>
    <w:p w14:paraId="21093FC6" w14:textId="77777777" w:rsidR="0068150A" w:rsidRPr="00A1142B" w:rsidRDefault="0068150A" w:rsidP="0068150A">
      <w:pPr>
        <w:numPr>
          <w:ilvl w:val="0"/>
          <w:numId w:val="2"/>
        </w:numPr>
        <w:spacing w:before="100" w:beforeAutospacing="1" w:after="100" w:afterAutospacing="1" w:line="240" w:lineRule="auto"/>
        <w:rPr>
          <w:rFonts w:eastAsia="Times New Roman"/>
          <w:kern w:val="0"/>
          <w14:ligatures w14:val="none"/>
        </w:rPr>
      </w:pPr>
      <w:r w:rsidRPr="00A1142B">
        <w:rPr>
          <w:rFonts w:eastAsia="Times New Roman"/>
          <w:b/>
          <w:bCs/>
        </w:rPr>
        <w:t>Document the process:</w:t>
      </w:r>
      <w:r w:rsidRPr="00A1142B">
        <w:rPr>
          <w:rFonts w:eastAsia="Times New Roman"/>
        </w:rPr>
        <w:t xml:space="preserve"> Maintain a clear, plain-language policy and procedure for requesting workplace adjustments (including who to contact, expected timelines, and privacy considerations).</w:t>
      </w:r>
    </w:p>
    <w:p w14:paraId="7AE0652B" w14:textId="77777777" w:rsidR="0068150A" w:rsidRPr="00A1142B" w:rsidRDefault="0068150A" w:rsidP="0068150A">
      <w:pPr>
        <w:numPr>
          <w:ilvl w:val="0"/>
          <w:numId w:val="2"/>
        </w:numPr>
        <w:spacing w:before="100" w:beforeAutospacing="1" w:after="100" w:afterAutospacing="1" w:line="240" w:lineRule="auto"/>
        <w:rPr>
          <w:rFonts w:eastAsia="Times New Roman"/>
        </w:rPr>
      </w:pPr>
      <w:r w:rsidRPr="00A1142B">
        <w:rPr>
          <w:rFonts w:eastAsia="Times New Roman"/>
          <w:b/>
          <w:bCs/>
        </w:rPr>
        <w:t>Make it visible:</w:t>
      </w:r>
      <w:r w:rsidRPr="00A1142B">
        <w:rPr>
          <w:rFonts w:eastAsia="Times New Roman"/>
        </w:rPr>
        <w:t xml:space="preserve"> Publish the process where employees and candidates will actually see it (career site, offer letter package, onboarding materials, intranet).</w:t>
      </w:r>
    </w:p>
    <w:p w14:paraId="0D962573" w14:textId="77777777" w:rsidR="0068150A" w:rsidRPr="00A1142B" w:rsidRDefault="0068150A" w:rsidP="0068150A">
      <w:pPr>
        <w:numPr>
          <w:ilvl w:val="0"/>
          <w:numId w:val="2"/>
        </w:numPr>
        <w:spacing w:before="100" w:beforeAutospacing="1" w:after="100" w:afterAutospacing="1" w:line="240" w:lineRule="auto"/>
        <w:rPr>
          <w:rFonts w:eastAsia="Times New Roman"/>
        </w:rPr>
      </w:pPr>
      <w:r w:rsidRPr="00A1142B">
        <w:rPr>
          <w:rFonts w:eastAsia="Times New Roman"/>
          <w:b/>
          <w:bCs/>
        </w:rPr>
        <w:t>Train for consistency:</w:t>
      </w:r>
      <w:r w:rsidRPr="00A1142B">
        <w:rPr>
          <w:rFonts w:eastAsia="Times New Roman"/>
        </w:rPr>
        <w:t xml:space="preserve"> Equip managers and HR partners to respond confidently—what to say, what not to ask, and how to move requests forward quickly.</w:t>
      </w:r>
    </w:p>
    <w:p w14:paraId="542765F2" w14:textId="77777777" w:rsidR="0068150A" w:rsidRPr="00A1142B" w:rsidRDefault="0068150A" w:rsidP="0068150A">
      <w:pPr>
        <w:numPr>
          <w:ilvl w:val="0"/>
          <w:numId w:val="2"/>
        </w:numPr>
        <w:spacing w:before="100" w:beforeAutospacing="1" w:after="100" w:afterAutospacing="1" w:line="240" w:lineRule="auto"/>
        <w:rPr>
          <w:rFonts w:eastAsia="Times New Roman"/>
        </w:rPr>
      </w:pPr>
      <w:r w:rsidRPr="00A1142B">
        <w:rPr>
          <w:rFonts w:eastAsia="Times New Roman"/>
          <w:b/>
          <w:bCs/>
        </w:rPr>
        <w:t>Remove friction:</w:t>
      </w:r>
      <w:r w:rsidRPr="00A1142B">
        <w:rPr>
          <w:rFonts w:eastAsia="Times New Roman"/>
        </w:rPr>
        <w:t xml:space="preserve"> Offer multiple ways to request (form, email, conversation) and confirm receipt with next steps.</w:t>
      </w:r>
    </w:p>
    <w:p w14:paraId="067EE576" w14:textId="77777777" w:rsidR="0068150A" w:rsidRPr="00A1142B" w:rsidRDefault="0068150A" w:rsidP="0068150A">
      <w:pPr>
        <w:numPr>
          <w:ilvl w:val="0"/>
          <w:numId w:val="2"/>
        </w:numPr>
        <w:spacing w:before="100" w:beforeAutospacing="1" w:after="100" w:afterAutospacing="1" w:line="240" w:lineRule="auto"/>
        <w:rPr>
          <w:rFonts w:eastAsia="Times New Roman"/>
        </w:rPr>
      </w:pPr>
      <w:r w:rsidRPr="00A1142B">
        <w:rPr>
          <w:rFonts w:eastAsia="Times New Roman"/>
          <w:b/>
          <w:bCs/>
        </w:rPr>
        <w:t>Measure and improve:</w:t>
      </w:r>
      <w:r w:rsidRPr="00A1142B">
        <w:rPr>
          <w:rFonts w:eastAsia="Times New Roman"/>
        </w:rPr>
        <w:t xml:space="preserve"> Track requests, time-to-implement, outcomes, and employee feedback to identify bottlenecks and build trust.</w:t>
      </w:r>
    </w:p>
    <w:p w14:paraId="10EAFB15" w14:textId="5F4AFDAC" w:rsidR="0068150A" w:rsidRDefault="0068150A">
      <w:r w:rsidRPr="00A1142B">
        <w:t>Use key</w:t>
      </w:r>
      <w:r>
        <w:t xml:space="preserve"> calendar moments (e.g., National AccessAbility Week, National Disability Employment Awareness Month, and the International Day of Persons with Disabilities) to move from awareness to action</w:t>
      </w:r>
      <w:r w:rsidR="0076664E">
        <w:t xml:space="preserve">: </w:t>
      </w:r>
      <w:r>
        <w:t xml:space="preserve">highlight the process, share real examples of adjustments (including low- or no-cost </w:t>
      </w:r>
      <w:r>
        <w:lastRenderedPageBreak/>
        <w:t>options), and reinforce leadership commitment.</w:t>
      </w:r>
      <w:r w:rsidR="008A73DB">
        <w:t xml:space="preserve"> As a part of your commitment to becoming a Disability Confident Employer, plan to leverage these strategies.</w:t>
      </w:r>
    </w:p>
    <w:p w14:paraId="564523F1" w14:textId="77777777" w:rsidR="000812B1" w:rsidRDefault="000812B1" w:rsidP="00E10A04">
      <w:pPr>
        <w:pStyle w:val="Heading1"/>
        <w:rPr>
          <w:rFonts w:eastAsia="Times New Roman"/>
          <w:kern w:val="36"/>
          <w14:ligatures w14:val="none"/>
        </w:rPr>
      </w:pPr>
      <w:r>
        <w:rPr>
          <w:rFonts w:eastAsia="Times New Roman"/>
        </w:rPr>
        <w:t>The 64% Gap: Building a Formal Process to Identify and Remove Barriers</w:t>
      </w:r>
    </w:p>
    <w:p w14:paraId="67C7F79E" w14:textId="64FCC75C" w:rsidR="000812B1" w:rsidRDefault="000812B1">
      <w:pPr>
        <w:rPr>
          <w:kern w:val="0"/>
          <w14:ligatures w14:val="none"/>
        </w:rPr>
      </w:pPr>
      <w:r>
        <w:rPr>
          <w:b/>
          <w:bCs/>
        </w:rPr>
        <w:t>Nearly two-thirds of business leaders (64%) report they do not have a formal process to identify, address, and remove barriers for people with disabilities</w:t>
      </w:r>
      <w:r w:rsidR="00EE08DA">
        <w:rPr>
          <w:b/>
          <w:bCs/>
        </w:rPr>
        <w:t xml:space="preserve"> [1]</w:t>
      </w:r>
      <w:r>
        <w:rPr>
          <w:b/>
          <w:bCs/>
        </w:rPr>
        <w:t>.</w:t>
      </w:r>
      <w:r>
        <w:t xml:space="preserve"> For executives and HR leaders, this is a solvable governance gap: without a clear process, barriers are missed, concerns go unreported, and accountability becomes unclear. A simple, well-communicated approach helps you respond faster, manage risk, and demonstrate the kind of leadership that defines a Disability Confident Employer.</w:t>
      </w:r>
    </w:p>
    <w:p w14:paraId="1080EE2D" w14:textId="3C417025" w:rsidR="000812B1" w:rsidRDefault="000812B1">
      <w:pPr>
        <w:rPr>
          <w:kern w:val="0"/>
          <w14:ligatures w14:val="none"/>
        </w:rPr>
      </w:pPr>
      <w:r>
        <w:t>When organizations don’t have a consistent way to surface and resolve barriers, employees carry the burden. Nearly 7 in 10 (69%) employed persons with disabilities or long-term conditions report at least one accessibility barrier at work</w:t>
      </w:r>
      <w:r w:rsidR="00EE08DA">
        <w:t xml:space="preserve"> [2]</w:t>
      </w:r>
      <w:r>
        <w:t>. A formal process turns these from recurring issues into actionable improvements.</w:t>
      </w:r>
    </w:p>
    <w:p w14:paraId="72E0A4FE" w14:textId="21436A75" w:rsidR="00212BD1" w:rsidRDefault="00E11B30" w:rsidP="00CA2300">
      <w:pPr>
        <w:pStyle w:val="Heading2"/>
      </w:pPr>
      <w:r>
        <w:t>Capacity of Employers</w:t>
      </w:r>
    </w:p>
    <w:p w14:paraId="7C7F6DA8" w14:textId="77777777" w:rsidR="000812B1" w:rsidRDefault="000812B1">
      <w:pPr>
        <w:rPr>
          <w:kern w:val="0"/>
          <w14:ligatures w14:val="none"/>
        </w:rPr>
      </w:pPr>
      <w:r>
        <w:t>Many employers want to do the right thing but aren’t sure where to start. Research commonly points to a lack of knowledge about accessibility supports and how to manage disability-related needs as a key barrier to building disability-inclusive workplaces. That makes the absence of a formal barrier-removal process less a lack of intent—and more a capacity challenge that can be addressed with clear guidance, simple tools, and leadership commitment.</w:t>
      </w:r>
    </w:p>
    <w:p w14:paraId="5C32311F" w14:textId="5ABC19C9" w:rsidR="000812B1" w:rsidRDefault="000812B1">
      <w:pPr>
        <w:rPr>
          <w:kern w:val="0"/>
          <w14:ligatures w14:val="none"/>
        </w:rPr>
      </w:pPr>
      <w:r>
        <w:t>This is especially true for small (1–99 employees) and medium (100–499 employees) enterprises (SMEs), which comprise 99.8% of businesses in Canada</w:t>
      </w:r>
      <w:r w:rsidR="00DC1229">
        <w:t xml:space="preserve"> [6]</w:t>
      </w:r>
      <w:r>
        <w:t>. Many SMEs do not have dedicated HR staff or formal HR policies, so setting up and maintaining a process can feel daunting. The goal of the pledge is to make this doable: start with a simple, scalable process now—then strengthen it over time.</w:t>
      </w:r>
    </w:p>
    <w:p w14:paraId="6EC64DD2" w14:textId="0BD3DEFA" w:rsidR="00E11B30" w:rsidRDefault="00E11B30" w:rsidP="00E11B30">
      <w:pPr>
        <w:pStyle w:val="Heading2"/>
      </w:pPr>
      <w:r>
        <w:t>What Needs to Be Done</w:t>
      </w:r>
    </w:p>
    <w:p w14:paraId="73191E70" w14:textId="77777777" w:rsidR="000812B1" w:rsidRDefault="000812B1">
      <w:pPr>
        <w:rPr>
          <w:kern w:val="0"/>
          <w14:ligatures w14:val="none"/>
        </w:rPr>
      </w:pPr>
      <w:r>
        <w:rPr>
          <w:b/>
          <w:bCs/>
        </w:rPr>
        <w:t>What a Disability Confident process looks like in practice:</w:t>
      </w:r>
    </w:p>
    <w:p w14:paraId="7FB3AE36" w14:textId="77777777" w:rsidR="000812B1" w:rsidRDefault="000812B1" w:rsidP="000812B1">
      <w:pPr>
        <w:numPr>
          <w:ilvl w:val="0"/>
          <w:numId w:val="3"/>
        </w:numPr>
        <w:spacing w:line="240" w:lineRule="auto"/>
        <w:rPr>
          <w:rFonts w:eastAsia="Times New Roman"/>
          <w:kern w:val="0"/>
          <w14:ligatures w14:val="none"/>
        </w:rPr>
      </w:pPr>
      <w:r>
        <w:rPr>
          <w:rFonts w:eastAsia="Times New Roman"/>
          <w:b/>
          <w:bCs/>
        </w:rPr>
        <w:t>Name an owner and a route:</w:t>
      </w:r>
      <w:r>
        <w:rPr>
          <w:rFonts w:eastAsia="Times New Roman"/>
        </w:rPr>
        <w:t xml:space="preserve"> Identify who receives barrier reports (HR, operations, a DEI lead) and how employees/candidates can submit them (email, form, conversation).</w:t>
      </w:r>
    </w:p>
    <w:p w14:paraId="2B2F402F" w14:textId="77777777" w:rsidR="000812B1" w:rsidRDefault="000812B1" w:rsidP="000812B1">
      <w:pPr>
        <w:numPr>
          <w:ilvl w:val="0"/>
          <w:numId w:val="3"/>
        </w:numPr>
        <w:spacing w:line="240" w:lineRule="auto"/>
        <w:rPr>
          <w:rFonts w:eastAsia="Times New Roman"/>
        </w:rPr>
      </w:pPr>
      <w:r>
        <w:rPr>
          <w:rFonts w:eastAsia="Times New Roman"/>
          <w:b/>
          <w:bCs/>
        </w:rPr>
        <w:t>Set expectations:</w:t>
      </w:r>
      <w:r>
        <w:rPr>
          <w:rFonts w:eastAsia="Times New Roman"/>
        </w:rPr>
        <w:t xml:space="preserve"> Acknowledge submissions, clarify timelines, and explain how confidentiality will be respected.</w:t>
      </w:r>
    </w:p>
    <w:p w14:paraId="4EBE1A93" w14:textId="77777777" w:rsidR="000812B1" w:rsidRDefault="000812B1" w:rsidP="000812B1">
      <w:pPr>
        <w:numPr>
          <w:ilvl w:val="0"/>
          <w:numId w:val="3"/>
        </w:numPr>
        <w:spacing w:line="240" w:lineRule="auto"/>
        <w:rPr>
          <w:rFonts w:eastAsia="Times New Roman"/>
        </w:rPr>
      </w:pPr>
      <w:r>
        <w:rPr>
          <w:rFonts w:eastAsia="Times New Roman"/>
          <w:b/>
          <w:bCs/>
        </w:rPr>
        <w:t>Act and communicate:</w:t>
      </w:r>
      <w:r>
        <w:rPr>
          <w:rFonts w:eastAsia="Times New Roman"/>
        </w:rPr>
        <w:t xml:space="preserve"> Triage issues (quick fixes vs. longer-term changes), document decisions, and close the loop with the person who raised the barrier.</w:t>
      </w:r>
    </w:p>
    <w:p w14:paraId="6E0E4886" w14:textId="77777777" w:rsidR="000812B1" w:rsidRDefault="000812B1" w:rsidP="000812B1">
      <w:pPr>
        <w:numPr>
          <w:ilvl w:val="0"/>
          <w:numId w:val="3"/>
        </w:numPr>
        <w:spacing w:line="240" w:lineRule="auto"/>
        <w:rPr>
          <w:rFonts w:eastAsia="Times New Roman"/>
        </w:rPr>
      </w:pPr>
      <w:r>
        <w:rPr>
          <w:rFonts w:eastAsia="Times New Roman"/>
          <w:b/>
          <w:bCs/>
        </w:rPr>
        <w:t>Look for patterns:</w:t>
      </w:r>
      <w:r>
        <w:rPr>
          <w:rFonts w:eastAsia="Times New Roman"/>
        </w:rPr>
        <w:t xml:space="preserve"> Review barrier reports regularly to prevent repeat issues and prioritize improvements (facilities, tech, communications, hiring practices).</w:t>
      </w:r>
    </w:p>
    <w:p w14:paraId="350135B1" w14:textId="77777777" w:rsidR="000812B1" w:rsidRDefault="000812B1" w:rsidP="000812B1">
      <w:pPr>
        <w:numPr>
          <w:ilvl w:val="0"/>
          <w:numId w:val="3"/>
        </w:numPr>
        <w:spacing w:line="240" w:lineRule="auto"/>
        <w:rPr>
          <w:rFonts w:eastAsia="Times New Roman"/>
        </w:rPr>
      </w:pPr>
      <w:r>
        <w:rPr>
          <w:rFonts w:eastAsia="Times New Roman"/>
          <w:b/>
          <w:bCs/>
        </w:rPr>
        <w:lastRenderedPageBreak/>
        <w:t>Use expert support when needed:</w:t>
      </w:r>
      <w:r>
        <w:rPr>
          <w:rFonts w:eastAsia="Times New Roman"/>
        </w:rPr>
        <w:t xml:space="preserve"> Employment support organizations can help you design and implement a right-sized process—reducing the workload on internal teams while building capability.</w:t>
      </w:r>
    </w:p>
    <w:p w14:paraId="427D7D3F" w14:textId="77777777" w:rsidR="00A3076B" w:rsidRDefault="00A3076B">
      <w:pPr>
        <w:rPr>
          <w:kern w:val="0"/>
          <w14:ligatures w14:val="none"/>
        </w:rPr>
      </w:pPr>
      <w:r>
        <w:t xml:space="preserve">For smaller employers (under 99 employees), keeping this simple is the point. Start by appointing a trusted point person—often an HR generalist, office manager, or operations lead—who can receive accessibility concerns confidentially, coordinate follow-up, and track what was resolved. When employees know </w:t>
      </w:r>
      <w:r>
        <w:rPr>
          <w:i/>
          <w:iCs/>
        </w:rPr>
        <w:t>who</w:t>
      </w:r>
      <w:r>
        <w:t xml:space="preserve"> to go to and </w:t>
      </w:r>
      <w:r>
        <w:rPr>
          <w:i/>
          <w:iCs/>
        </w:rPr>
        <w:t>what</w:t>
      </w:r>
      <w:r>
        <w:t xml:space="preserve"> will happen next, barriers get addressed earlier, and your commitment to being a Disability Confident Employer becomes real in day-to-day practice.</w:t>
      </w:r>
    </w:p>
    <w:p w14:paraId="6107C61C" w14:textId="3FAE707A" w:rsidR="000812B1" w:rsidRDefault="000812B1">
      <w:pPr>
        <w:rPr>
          <w:kern w:val="0"/>
          <w14:ligatures w14:val="none"/>
        </w:rPr>
      </w:pPr>
      <w:r>
        <w:t xml:space="preserve">Taking the pledge to become a </w:t>
      </w:r>
      <w:r>
        <w:rPr>
          <w:b/>
          <w:bCs/>
        </w:rPr>
        <w:t>Disability Confident Employer</w:t>
      </w:r>
      <w:r>
        <w:t xml:space="preserve"> is a practical way to formalize this commitment: it signals to employees and candidates that your organization has a clear path to raise barriers, a method to respond, and a leadership team accountable for continuous improvement.</w:t>
      </w:r>
    </w:p>
    <w:p w14:paraId="00000AC7" w14:textId="77777777" w:rsidR="00EB089C" w:rsidRDefault="00EB089C">
      <w:pPr>
        <w:pStyle w:val="Heading1"/>
        <w:rPr>
          <w:rFonts w:eastAsia="Times New Roman"/>
          <w:kern w:val="36"/>
          <w14:ligatures w14:val="none"/>
        </w:rPr>
      </w:pPr>
      <w:r>
        <w:rPr>
          <w:rFonts w:eastAsia="Times New Roman"/>
        </w:rPr>
        <w:t>The 70% Gap: Review Accessibility Across the Employment Lifecycle</w:t>
      </w:r>
    </w:p>
    <w:p w14:paraId="0E71D5F0" w14:textId="2F34A20B" w:rsidR="00EB089C" w:rsidRDefault="00EB089C">
      <w:pPr>
        <w:rPr>
          <w:kern w:val="0"/>
          <w14:ligatures w14:val="none"/>
        </w:rPr>
      </w:pPr>
      <w:r>
        <w:rPr>
          <w:b/>
          <w:bCs/>
        </w:rPr>
        <w:t>Seven in ten business leaders (70%) report they have not reviewed the accessibility of each phase of the employment lifecycle</w:t>
      </w:r>
      <w:r>
        <w:t xml:space="preserve"> (recruitment, hiring, onboarding, performance management, career development, and more)</w:t>
      </w:r>
      <w:r w:rsidR="007D1FE5">
        <w:t xml:space="preserve"> [1]</w:t>
      </w:r>
      <w:r>
        <w:t>. For executives and HR leaders, this is an addressable blind spot: if accessibility hasn’t been assessed end-to-end, barriers can persist unnoticed, limiting talent pipelines, increasing turnover risk, and undermining inclusion commitments.</w:t>
      </w:r>
    </w:p>
    <w:p w14:paraId="28AD3504" w14:textId="2185C0E6" w:rsidR="00EB089C" w:rsidRDefault="00EB089C">
      <w:pPr>
        <w:rPr>
          <w:kern w:val="0"/>
          <w14:ligatures w14:val="none"/>
        </w:rPr>
      </w:pPr>
      <w:r>
        <w:t>This finding aligns with what employees report experiencing on the ground. Common workplace barriers include the physical environment (49%), communication (41%), transportation (35%), and technology (35%)</w:t>
      </w:r>
      <w:r w:rsidR="00616D6D">
        <w:t xml:space="preserve"> [2]</w:t>
      </w:r>
      <w:r>
        <w:t>. In today’s workplace, communication and technology are core to productivity—so when these systems aren’t accessible, employees can’t contribute on equal footing. A lifecycle review helps you pinpoint where barriers show up (and where they don’t), prioritize fixes, and make accessibility part of “how we work,” not an exception.</w:t>
      </w:r>
    </w:p>
    <w:p w14:paraId="5197F0A2" w14:textId="12718239" w:rsidR="0055052A" w:rsidRDefault="00B71860" w:rsidP="007A1930">
      <w:pPr>
        <w:pStyle w:val="Heading2"/>
      </w:pPr>
      <w:r>
        <w:t>What Is Happening</w:t>
      </w:r>
    </w:p>
    <w:p w14:paraId="624FEC44" w14:textId="3AC4B09B" w:rsidR="00EB089C" w:rsidRDefault="00EB089C">
      <w:pPr>
        <w:rPr>
          <w:kern w:val="0"/>
          <w14:ligatures w14:val="none"/>
        </w:rPr>
      </w:pPr>
      <w:r>
        <w:t>According to the Canadian Human Rights Commission, more than 30% of persons with disabilities have reported being at a disadvantage in their careers due to disability-related barriers</w:t>
      </w:r>
      <w:r w:rsidR="007E511D">
        <w:t xml:space="preserve"> [7]</w:t>
      </w:r>
      <w:r>
        <w:t>. The organizational cost of this shows up as underutilized skills, lower engagement, and avoidable attrition. Employees with disabilities are also nearly twice as likely to be in roles with low autonomy and low job satisfaction—often clustered in entry-level work and less likely to see a pathway to advancement</w:t>
      </w:r>
      <w:r w:rsidR="00F25C3F">
        <w:t xml:space="preserve"> [8]</w:t>
      </w:r>
      <w:r>
        <w:t>. When talent cannot fully participate, organizations lose capability they’ve already hired.</w:t>
      </w:r>
    </w:p>
    <w:p w14:paraId="31C44C3C" w14:textId="571CCEA7" w:rsidR="00E10A04" w:rsidRDefault="00E10A04" w:rsidP="00E10A04">
      <w:pPr>
        <w:pStyle w:val="Heading2"/>
      </w:pPr>
      <w:r>
        <w:t>What Needs to Happen</w:t>
      </w:r>
    </w:p>
    <w:p w14:paraId="26309A95" w14:textId="77777777" w:rsidR="00EB089C" w:rsidRDefault="00EB089C">
      <w:pPr>
        <w:rPr>
          <w:kern w:val="0"/>
          <w14:ligatures w14:val="none"/>
        </w:rPr>
      </w:pPr>
      <w:r>
        <w:t xml:space="preserve">HR teams, executives, and business owners can close this gap by completing an accessibility review across the employment lifecycle—and then acting on what they find. As part of the commitment to becoming a </w:t>
      </w:r>
      <w:r>
        <w:rPr>
          <w:b/>
          <w:bCs/>
        </w:rPr>
        <w:t>Disability Confident Employer</w:t>
      </w:r>
      <w:r>
        <w:t>, we support employers with a self-</w:t>
      </w:r>
      <w:r>
        <w:lastRenderedPageBreak/>
        <w:t>directed assessment of accessibility throughout employment. It provides a clear baseline and helps pinpoint where targeted improvements will have the greatest impact (from recruitment practices and interview formats to onboarding, workplace tools, and career development).</w:t>
      </w:r>
    </w:p>
    <w:p w14:paraId="7E421B84" w14:textId="77777777" w:rsidR="00EB089C" w:rsidRDefault="00EB089C">
      <w:r>
        <w:t>To keep progress practical and measurable, build in regular feedback opportunities across the employee journey (e.g., onboarding check-ins, periodic pulse surveys, and a clear channel to raise accessibility barriers). Use what you learn to track a small set of indicators—such as time-to-resolve barriers, employee experience scores, retention, and advancement—so leaders can see what’s improving and where additional attention is needed.</w:t>
      </w:r>
    </w:p>
    <w:p w14:paraId="7C8ADB1B" w14:textId="77777777" w:rsidR="00270E41" w:rsidRDefault="00270E41">
      <w:pPr>
        <w:pStyle w:val="Heading1"/>
        <w:rPr>
          <w:rFonts w:eastAsia="Times New Roman"/>
          <w:kern w:val="36"/>
          <w14:ligatures w14:val="none"/>
        </w:rPr>
      </w:pPr>
      <w:r>
        <w:rPr>
          <w:rFonts w:eastAsia="Times New Roman"/>
        </w:rPr>
        <w:t>The 70% Gap in Leadership Training: Equipping Managers to Lead Disability-Inclusive Teams</w:t>
      </w:r>
    </w:p>
    <w:p w14:paraId="6087C608" w14:textId="7B104898" w:rsidR="00270E41" w:rsidRDefault="00270E41">
      <w:pPr>
        <w:rPr>
          <w:kern w:val="0"/>
          <w14:ligatures w14:val="none"/>
        </w:rPr>
      </w:pPr>
      <w:r>
        <w:rPr>
          <w:b/>
          <w:bCs/>
        </w:rPr>
        <w:t>Seven in ten business leaders (70%) indicated in our survey that their leaders do not receive training to address disability-related myths, misconceptions, and bias</w:t>
      </w:r>
      <w:r w:rsidR="00F25C3F">
        <w:rPr>
          <w:b/>
          <w:bCs/>
        </w:rPr>
        <w:t xml:space="preserve"> [1]</w:t>
      </w:r>
      <w:r>
        <w:rPr>
          <w:b/>
          <w:bCs/>
        </w:rPr>
        <w:t>.</w:t>
      </w:r>
      <w:r>
        <w:t xml:space="preserve"> For HR and executives, this is a practical capability gap: managers make day-to-day decisions that shape candidate experience, performance conversations, and whether employees feel safe requesting support. Building disability confidence at the leadership level helps reduce friction in hiring, strengthens retention, and turns inclusion commitments into consistent practice.</w:t>
      </w:r>
    </w:p>
    <w:p w14:paraId="7EFA7D5F" w14:textId="2FE8B862" w:rsidR="00270E41" w:rsidRDefault="00270E41">
      <w:pPr>
        <w:rPr>
          <w:kern w:val="0"/>
          <w14:ligatures w14:val="none"/>
        </w:rPr>
      </w:pPr>
      <w:r>
        <w:t>This gap is reflected in candidate experience. Alongside the 32% of candidates with disabilities who reported accommodation-related barriers in hiring, other commonly reported barriers included difficulty disclosing disability to a potential employer (54%) and a lack of support or respect from hiring staff or managers (41%)</w:t>
      </w:r>
      <w:r w:rsidR="00F25C3F">
        <w:t xml:space="preserve"> [2]</w:t>
      </w:r>
      <w:r>
        <w:t>. Training helps leaders understand what to say, how to respond to disclosure appropriately, and how to keep the focus on skills and job requirements.</w:t>
      </w:r>
    </w:p>
    <w:p w14:paraId="758D6132" w14:textId="77777777" w:rsidR="00270E41" w:rsidRDefault="00270E41">
      <w:pPr>
        <w:pStyle w:val="Heading2"/>
        <w:rPr>
          <w:rFonts w:eastAsia="Times New Roman"/>
          <w:kern w:val="0"/>
          <w14:ligatures w14:val="none"/>
        </w:rPr>
      </w:pPr>
      <w:r>
        <w:rPr>
          <w:rFonts w:eastAsia="Times New Roman"/>
        </w:rPr>
        <w:t>Why Leadership Training Often Gets Missed</w:t>
      </w:r>
    </w:p>
    <w:p w14:paraId="41046CEF" w14:textId="15646159" w:rsidR="00270E41" w:rsidRDefault="00270E41">
      <w:pPr>
        <w:rPr>
          <w:kern w:val="0"/>
          <w14:ligatures w14:val="none"/>
        </w:rPr>
      </w:pPr>
      <w:r>
        <w:t>Earlier sections highlighted that many employers cite a lack of knowledge as a barrier to building disability-inclusive workplaces. In practice, leadership training is often deferred because teams are balancing competing priorities, uncertainty about what training should cover, and limited internal expertise to design it well. The opportunity is significant: research suggests that improving understanding of disability-related abilities and challenges can empower employers</w:t>
      </w:r>
      <w:r w:rsidR="00F17083">
        <w:t xml:space="preserve">, </w:t>
      </w:r>
      <w:r>
        <w:t>especially small and medium-sized businesses</w:t>
      </w:r>
      <w:r w:rsidR="00F17083">
        <w:t xml:space="preserve">, </w:t>
      </w:r>
      <w:r>
        <w:t>to recruit and retain more persons with disabilities.</w:t>
      </w:r>
    </w:p>
    <w:p w14:paraId="25ED00A6" w14:textId="3163464E" w:rsidR="00270E41" w:rsidRDefault="00270E41">
      <w:pPr>
        <w:rPr>
          <w:kern w:val="0"/>
          <w14:ligatures w14:val="none"/>
        </w:rPr>
      </w:pPr>
      <w:r>
        <w:t>To be effective, learning should reflect the entire employment lifecycle</w:t>
      </w:r>
      <w:r w:rsidR="00F17083">
        <w:t xml:space="preserve">, </w:t>
      </w:r>
      <w:r>
        <w:t>so leaders are prepared to apply accessibility and inclusion principles in interviews, onboarding, day-to-day management, performance discussions, and career development.</w:t>
      </w:r>
    </w:p>
    <w:p w14:paraId="1B14DE17" w14:textId="77777777" w:rsidR="00270E41" w:rsidRDefault="00270E41">
      <w:pPr>
        <w:pStyle w:val="Heading2"/>
        <w:rPr>
          <w:rFonts w:eastAsia="Times New Roman"/>
          <w:kern w:val="0"/>
          <w14:ligatures w14:val="none"/>
        </w:rPr>
      </w:pPr>
      <w:r>
        <w:rPr>
          <w:rFonts w:eastAsia="Times New Roman"/>
        </w:rPr>
        <w:t>Practical Next Steps for Employers</w:t>
      </w:r>
    </w:p>
    <w:p w14:paraId="7DE7328C" w14:textId="077B176C" w:rsidR="00270E41" w:rsidRDefault="00270E41">
      <w:pPr>
        <w:rPr>
          <w:kern w:val="0"/>
          <w14:ligatures w14:val="none"/>
        </w:rPr>
      </w:pPr>
      <w:r>
        <w:t xml:space="preserve">For larger organizations, consider building or procuring a structured disability-inclusion learning program for leaders. Aim for content that is practical and role-based (e.g., responding to disclosure, handling accommodation requests, accessible communication, interviewing practices, and managing performance fairly). </w:t>
      </w:r>
      <w:r w:rsidR="00E61E8F">
        <w:t>This content should be</w:t>
      </w:r>
      <w:r>
        <w:t xml:space="preserve"> develop</w:t>
      </w:r>
      <w:r w:rsidR="00E61E8F">
        <w:t>ed</w:t>
      </w:r>
      <w:r>
        <w:t xml:space="preserve"> and validate</w:t>
      </w:r>
      <w:r w:rsidR="00E61E8F">
        <w:t>d</w:t>
      </w:r>
      <w:r>
        <w:t xml:space="preserve"> in partnership with </w:t>
      </w:r>
      <w:r>
        <w:lastRenderedPageBreak/>
        <w:t>people with disabilities and</w:t>
      </w:r>
      <w:r w:rsidR="00F17083">
        <w:t xml:space="preserve"> </w:t>
      </w:r>
      <w:r>
        <w:t>/</w:t>
      </w:r>
      <w:r w:rsidR="00F17083">
        <w:t xml:space="preserve"> </w:t>
      </w:r>
      <w:r>
        <w:t>or disability organizations</w:t>
      </w:r>
      <w:r w:rsidR="00E61E8F">
        <w:t>. Businesses should also</w:t>
      </w:r>
      <w:r>
        <w:t xml:space="preserve"> leverage internal expertise such as employee resource groups to ensure relevance and credibility.</w:t>
      </w:r>
    </w:p>
    <w:p w14:paraId="7C137778" w14:textId="3D4108FC" w:rsidR="00270E41" w:rsidRDefault="00270E41">
      <w:r>
        <w:t xml:space="preserve">For small and mid-sized employers, partnering with an employment support organization can be the fastest path to high-quality training without adding heavy internal workload. To help make the commitment actionable, employers who take the pledge to become a </w:t>
      </w:r>
      <w:r>
        <w:rPr>
          <w:b/>
          <w:bCs/>
        </w:rPr>
        <w:t>Disability Confident Employer</w:t>
      </w:r>
      <w:r>
        <w:t xml:space="preserve"> receive access to our Disability Confidence Trainin</w:t>
      </w:r>
      <w:r w:rsidR="00321EF7">
        <w:t>g</w:t>
      </w:r>
      <w:r>
        <w:t>, which covers accessibility across the employment lifecycle and reinforces consistent, manager-ready practices.</w:t>
      </w:r>
    </w:p>
    <w:p w14:paraId="1147F3E5" w14:textId="77777777" w:rsidR="00CD3B74" w:rsidRDefault="00CD3B74">
      <w:pPr>
        <w:pStyle w:val="Heading1"/>
        <w:rPr>
          <w:rFonts w:eastAsia="Times New Roman"/>
          <w:kern w:val="36"/>
          <w14:ligatures w14:val="none"/>
        </w:rPr>
      </w:pPr>
      <w:r>
        <w:rPr>
          <w:rFonts w:eastAsia="Times New Roman"/>
        </w:rPr>
        <w:t>The 86% Gap: Gathering Feedback and Making Public Commitments</w:t>
      </w:r>
    </w:p>
    <w:p w14:paraId="5ED568F2" w14:textId="7939387B" w:rsidR="00CD3B74" w:rsidRDefault="00CD3B74">
      <w:pPr>
        <w:rPr>
          <w:kern w:val="0"/>
          <w14:ligatures w14:val="none"/>
        </w:rPr>
      </w:pPr>
      <w:r>
        <w:rPr>
          <w:b/>
          <w:bCs/>
        </w:rPr>
        <w:t>Only 14% of business leaders reported that, in the last 12 months, their organization directly gathered feedback from people with disabilities and then publicly committed to actions with clear owners and timelines</w:t>
      </w:r>
      <w:r w:rsidR="00F25C3F">
        <w:rPr>
          <w:b/>
          <w:bCs/>
        </w:rPr>
        <w:t xml:space="preserve"> [1]</w:t>
      </w:r>
      <w:r>
        <w:rPr>
          <w:b/>
          <w:bCs/>
        </w:rPr>
        <w:t>.</w:t>
      </w:r>
      <w:r>
        <w:t xml:space="preserve"> For HR and executives, this is the largest and most addressable gap: without direct feedback and visible follow-through, accessibility efforts can miss real barriers, employee trust declines, and progress becomes difficult to measure.</w:t>
      </w:r>
    </w:p>
    <w:p w14:paraId="5F4E08D2" w14:textId="77777777" w:rsidR="00CD3B74" w:rsidRDefault="00CD3B74">
      <w:pPr>
        <w:rPr>
          <w:kern w:val="0"/>
          <w14:ligatures w14:val="none"/>
        </w:rPr>
      </w:pPr>
      <w:r>
        <w:t>Feedback becomes meaningful when it leads to accountability. If accessibility is a priority, it should show up as commitments leaders can track, including what will change, who owns it, and when it will be delivered. For federally regulated employers, the Accessible Canada Act framework includes requirements to consult people with disabilities and disability organizations when developing accessibility plans. These plans also include an employment component, which helps employees see what their employer is committing to do to remove barriers.</w:t>
      </w:r>
    </w:p>
    <w:p w14:paraId="389B5A0A" w14:textId="063AEB18" w:rsidR="006F0237" w:rsidRDefault="00C670AF" w:rsidP="00C670AF">
      <w:pPr>
        <w:pStyle w:val="Heading2"/>
      </w:pPr>
      <w:r>
        <w:t xml:space="preserve">The </w:t>
      </w:r>
      <w:r w:rsidR="00762743">
        <w:t>Benefits to Workplace Culture</w:t>
      </w:r>
    </w:p>
    <w:p w14:paraId="4AAF9F78" w14:textId="7072DC2F" w:rsidR="00CD3B74" w:rsidRDefault="00CD3B74">
      <w:pPr>
        <w:rPr>
          <w:kern w:val="0"/>
          <w14:ligatures w14:val="none"/>
        </w:rPr>
      </w:pPr>
      <w:r>
        <w:t>Organizations that include people with disabilities and invest in accessibility often report stronger team effectiveness, higher discretionary effort, and improved customer service. Accenture reports that companies that prioritize disability inclusion are 25% more likely to outperform their peers on productivity, and they also report higher revenue per employee ($845 per employee compared to $781)</w:t>
      </w:r>
      <w:r w:rsidR="00AF5A9C">
        <w:t xml:space="preserve"> [9]</w:t>
      </w:r>
      <w:commentRangeStart w:id="0"/>
      <w:r>
        <w:t>.</w:t>
      </w:r>
      <w:commentRangeEnd w:id="0"/>
      <w:r w:rsidR="009C15D5">
        <w:rPr>
          <w:rStyle w:val="CommentReference"/>
          <w:kern w:val="0"/>
          <w:sz w:val="22"/>
          <w:szCs w:val="22"/>
          <w14:ligatures w14:val="none"/>
        </w:rPr>
        <w:commentReference w:id="0"/>
      </w:r>
    </w:p>
    <w:p w14:paraId="63DE4D04" w14:textId="59D2DA38" w:rsidR="00CD3B74" w:rsidRDefault="00CD3B74">
      <w:pPr>
        <w:rPr>
          <w:kern w:val="0"/>
          <w14:ligatures w14:val="none"/>
        </w:rPr>
      </w:pPr>
      <w:r>
        <w:t xml:space="preserve">International findings point in a similar direction. In Spain, a survey of HR professionals across 57 companies found that hiring employees with disabilities was associated with reported benefits such as improved teamwork (74%) and a stronger internal </w:t>
      </w:r>
      <w:commentRangeStart w:id="1"/>
      <w:r>
        <w:t>culture (88%)</w:t>
      </w:r>
      <w:r w:rsidR="009B2257">
        <w:t xml:space="preserve"> [10]</w:t>
      </w:r>
      <w:r>
        <w:t>.</w:t>
      </w:r>
      <w:commentRangeEnd w:id="1"/>
      <w:r w:rsidR="009C15D5">
        <w:rPr>
          <w:rStyle w:val="CommentReference"/>
          <w:kern w:val="0"/>
          <w:sz w:val="22"/>
          <w:szCs w:val="22"/>
          <w14:ligatures w14:val="none"/>
        </w:rPr>
        <w:commentReference w:id="1"/>
      </w:r>
    </w:p>
    <w:p w14:paraId="3B93EA39" w14:textId="0F8EDA8F" w:rsidR="000119B5" w:rsidRDefault="000119B5" w:rsidP="000119B5">
      <w:pPr>
        <w:pStyle w:val="Heading2"/>
      </w:pPr>
      <w:r>
        <w:t>What Employers Can Do Next</w:t>
      </w:r>
    </w:p>
    <w:p w14:paraId="72F98F98" w14:textId="77777777" w:rsidR="00CD3B74" w:rsidRDefault="00CD3B74">
      <w:pPr>
        <w:rPr>
          <w:kern w:val="0"/>
          <w14:ligatures w14:val="none"/>
        </w:rPr>
      </w:pPr>
      <w:r>
        <w:rPr>
          <w:b/>
          <w:bCs/>
        </w:rPr>
        <w:t>A practical starting point for HR and leaders:</w:t>
      </w:r>
    </w:p>
    <w:p w14:paraId="4E5E89C4" w14:textId="77777777" w:rsidR="00CD3B74" w:rsidRDefault="00CD3B74" w:rsidP="00CD3B74">
      <w:pPr>
        <w:numPr>
          <w:ilvl w:val="0"/>
          <w:numId w:val="4"/>
        </w:numPr>
        <w:spacing w:line="240" w:lineRule="auto"/>
        <w:rPr>
          <w:rFonts w:eastAsia="Times New Roman"/>
          <w:kern w:val="0"/>
          <w14:ligatures w14:val="none"/>
        </w:rPr>
      </w:pPr>
      <w:r>
        <w:rPr>
          <w:rFonts w:eastAsia="Times New Roman"/>
          <w:b/>
          <w:bCs/>
        </w:rPr>
        <w:t>Ask directly and safely:</w:t>
      </w:r>
      <w:r>
        <w:rPr>
          <w:rFonts w:eastAsia="Times New Roman"/>
        </w:rPr>
        <w:t xml:space="preserve"> Use an anonymous survey, interviews, focus groups, or a mix, designed with accessibility in mind. Invite employees with disabilities to share what is working and what creates barriers.</w:t>
      </w:r>
    </w:p>
    <w:p w14:paraId="1BD8010B" w14:textId="77777777" w:rsidR="00CD3B74" w:rsidRDefault="00CD3B74" w:rsidP="00CD3B74">
      <w:pPr>
        <w:numPr>
          <w:ilvl w:val="0"/>
          <w:numId w:val="4"/>
        </w:numPr>
        <w:spacing w:line="240" w:lineRule="auto"/>
        <w:rPr>
          <w:rFonts w:eastAsia="Times New Roman"/>
        </w:rPr>
      </w:pPr>
      <w:r>
        <w:rPr>
          <w:rFonts w:eastAsia="Times New Roman"/>
          <w:b/>
          <w:bCs/>
        </w:rPr>
        <w:t>Include candidates as well as employees:</w:t>
      </w:r>
      <w:r>
        <w:rPr>
          <w:rFonts w:eastAsia="Times New Roman"/>
        </w:rPr>
        <w:t xml:space="preserve"> Gather feedback on recruitment, interviews, and onboarding, since barriers often begin before day one.</w:t>
      </w:r>
    </w:p>
    <w:p w14:paraId="48ACB87F" w14:textId="77777777" w:rsidR="00CD3B74" w:rsidRDefault="00CD3B74" w:rsidP="00CD3B74">
      <w:pPr>
        <w:numPr>
          <w:ilvl w:val="0"/>
          <w:numId w:val="4"/>
        </w:numPr>
        <w:spacing w:line="240" w:lineRule="auto"/>
        <w:rPr>
          <w:rFonts w:eastAsia="Times New Roman"/>
        </w:rPr>
      </w:pPr>
      <w:r>
        <w:rPr>
          <w:rFonts w:eastAsia="Times New Roman"/>
          <w:b/>
          <w:bCs/>
        </w:rPr>
        <w:lastRenderedPageBreak/>
        <w:t>Commit publicly to action:</w:t>
      </w:r>
      <w:r>
        <w:rPr>
          <w:rFonts w:eastAsia="Times New Roman"/>
        </w:rPr>
        <w:t xml:space="preserve"> Summarize what you heard and publish a short set of commitments with owners and timelines so progress can be tracked.</w:t>
      </w:r>
    </w:p>
    <w:p w14:paraId="252EAE24" w14:textId="77777777" w:rsidR="00CD3B74" w:rsidRDefault="00CD3B74" w:rsidP="00CD3B74">
      <w:pPr>
        <w:numPr>
          <w:ilvl w:val="0"/>
          <w:numId w:val="4"/>
        </w:numPr>
        <w:spacing w:line="240" w:lineRule="auto"/>
        <w:rPr>
          <w:rFonts w:eastAsia="Times New Roman"/>
        </w:rPr>
      </w:pPr>
      <w:r>
        <w:rPr>
          <w:rFonts w:eastAsia="Times New Roman"/>
          <w:b/>
          <w:bCs/>
        </w:rPr>
        <w:t>Close the loop:</w:t>
      </w:r>
      <w:r>
        <w:rPr>
          <w:rFonts w:eastAsia="Times New Roman"/>
        </w:rPr>
        <w:t xml:space="preserve"> Report back on what changed and what is still in progress. This is where trust is built.</w:t>
      </w:r>
    </w:p>
    <w:p w14:paraId="0ADB51EE" w14:textId="77777777" w:rsidR="00CD3B74" w:rsidRDefault="00CD3B74" w:rsidP="00CD3B74">
      <w:pPr>
        <w:numPr>
          <w:ilvl w:val="0"/>
          <w:numId w:val="4"/>
        </w:numPr>
        <w:spacing w:line="240" w:lineRule="auto"/>
        <w:rPr>
          <w:rFonts w:eastAsia="Times New Roman"/>
        </w:rPr>
      </w:pPr>
      <w:r>
        <w:rPr>
          <w:rFonts w:eastAsia="Times New Roman"/>
          <w:b/>
          <w:bCs/>
        </w:rPr>
        <w:t>Use the pledge to formalize the commitment:</w:t>
      </w:r>
      <w:r>
        <w:rPr>
          <w:rFonts w:eastAsia="Times New Roman"/>
        </w:rPr>
        <w:t xml:space="preserve"> Taking the pledge to become a </w:t>
      </w:r>
      <w:r>
        <w:rPr>
          <w:rFonts w:eastAsia="Times New Roman"/>
          <w:b/>
          <w:bCs/>
        </w:rPr>
        <w:t>Disability Confident Employer</w:t>
      </w:r>
      <w:r>
        <w:rPr>
          <w:rFonts w:eastAsia="Times New Roman"/>
        </w:rPr>
        <w:t xml:space="preserve"> signals to employees and prospective employees that accessibility is a business priority, supported by clear actions and accountability.</w:t>
      </w:r>
    </w:p>
    <w:p w14:paraId="1AE2C971" w14:textId="6A4F3127" w:rsidR="00CD3B74" w:rsidRDefault="00CD3B74" w:rsidP="00CD3B74">
      <w:pPr>
        <w:numPr>
          <w:ilvl w:val="0"/>
          <w:numId w:val="4"/>
        </w:numPr>
        <w:spacing w:line="240" w:lineRule="auto"/>
        <w:rPr>
          <w:rFonts w:eastAsia="Times New Roman"/>
        </w:rPr>
      </w:pPr>
      <w:r>
        <w:rPr>
          <w:rFonts w:eastAsia="Times New Roman"/>
          <w:b/>
          <w:bCs/>
        </w:rPr>
        <w:t>Get support if needed:</w:t>
      </w:r>
      <w:r>
        <w:rPr>
          <w:rFonts w:eastAsia="Times New Roman"/>
        </w:rPr>
        <w:t xml:space="preserve"> If internal capacity is limited, service providers, like Untapped Talent, can help you design inclusive surveys or facilitated discussions and translate findings into a practical action plan.</w:t>
      </w:r>
    </w:p>
    <w:p w14:paraId="2420EF8D" w14:textId="4D3C2AF3" w:rsidR="0038787A" w:rsidRDefault="0038787A">
      <w:pPr>
        <w:rPr>
          <w:rFonts w:eastAsia="Times New Roman"/>
        </w:rPr>
      </w:pPr>
      <w:r>
        <w:rPr>
          <w:rFonts w:eastAsia="Times New Roman"/>
        </w:rPr>
        <w:br w:type="page"/>
      </w:r>
    </w:p>
    <w:p w14:paraId="1848806D" w14:textId="4CBE2B76" w:rsidR="0038787A" w:rsidRDefault="0038787A" w:rsidP="0038787A">
      <w:pPr>
        <w:pStyle w:val="Heading1"/>
        <w:rPr>
          <w:rFonts w:eastAsia="Times New Roman"/>
        </w:rPr>
      </w:pPr>
      <w:r>
        <w:rPr>
          <w:rFonts w:eastAsia="Times New Roman"/>
        </w:rPr>
        <w:lastRenderedPageBreak/>
        <w:t>References</w:t>
      </w:r>
    </w:p>
    <w:p w14:paraId="3C63BB0F" w14:textId="63734000" w:rsidR="0038787A" w:rsidRDefault="009B51B2" w:rsidP="00B77BA7">
      <w:pPr>
        <w:pStyle w:val="ListParagraph"/>
        <w:numPr>
          <w:ilvl w:val="1"/>
          <w:numId w:val="4"/>
        </w:numPr>
      </w:pPr>
      <w:r w:rsidRPr="009B51B2">
        <w:t>Modus Research. February 2026 Business Monitor, prepared for the Canadian Council on Rehabilitation and Work (CCRW). Online survey conducted February 8 to 19, 2026 with Canadian managers and executives (n=712). Data weighted by enterprise size and region using the latest Canadian enterprise population data from Statistics Canada. Reported margin of error plus or minus 3.7 percentage points at the 95% confidence interval.</w:t>
      </w:r>
    </w:p>
    <w:p w14:paraId="17D0D119" w14:textId="6418DE3D" w:rsidR="00B77BA7" w:rsidRDefault="003F7824" w:rsidP="003F7824">
      <w:pPr>
        <w:pStyle w:val="ListParagraph"/>
        <w:numPr>
          <w:ilvl w:val="1"/>
          <w:numId w:val="4"/>
        </w:numPr>
      </w:pPr>
      <w:r w:rsidRPr="003F7824">
        <w:t>Statistics Canada. “Accessibility barriers related to employment among persons with disabilities or long-term conditions, 2024.” The Daily. Released February 10, 2025. Survey Series on Accessibility, Experiences with Accessibility and Employment (SSA-EAE).</w:t>
      </w:r>
    </w:p>
    <w:p w14:paraId="2865ECD7" w14:textId="4D07E4FC" w:rsidR="0076455F" w:rsidRDefault="0076455F" w:rsidP="003F7824">
      <w:pPr>
        <w:pStyle w:val="ListParagraph"/>
        <w:numPr>
          <w:ilvl w:val="1"/>
          <w:numId w:val="4"/>
        </w:numPr>
      </w:pPr>
      <w:r w:rsidRPr="0076455F">
        <w:rPr>
          <w:lang w:val="es-ES"/>
        </w:rPr>
        <w:t xml:space="preserve">Nagtegaal, R., de Boer, N., van Berkel, R., Derks, B., &amp; Tummers, L. (2023). </w:t>
      </w:r>
      <w:r w:rsidRPr="0076455F">
        <w:t xml:space="preserve">Why do employers (fail to) hire people with disabilities? A systematic review of capabilities, opportunities and motivations. Journal of Occupational Rehabilitation, 33, 329-340. </w:t>
      </w:r>
      <w:hyperlink r:id="rId12" w:history="1">
        <w:r w:rsidR="006600A9" w:rsidRPr="00A542DA">
          <w:rPr>
            <w:rStyle w:val="Hyperlink"/>
          </w:rPr>
          <w:t>https://doi.org/10.1007/s10926-022-10076-1</w:t>
        </w:r>
      </w:hyperlink>
    </w:p>
    <w:p w14:paraId="5EEC19C5" w14:textId="221DD16C" w:rsidR="006600A9" w:rsidRDefault="006600A9" w:rsidP="003F7824">
      <w:pPr>
        <w:pStyle w:val="ListParagraph"/>
        <w:numPr>
          <w:ilvl w:val="1"/>
          <w:numId w:val="4"/>
        </w:numPr>
      </w:pPr>
      <w:r w:rsidRPr="006600A9">
        <w:t xml:space="preserve">Statistics Canada. (2019, December 13). Table 13-10-0749-01: Workplace accommodations for employed persons with disabilities aged 25 to 64 years, by sex. </w:t>
      </w:r>
      <w:hyperlink r:id="rId13" w:history="1">
        <w:r w:rsidRPr="00A542DA">
          <w:rPr>
            <w:rStyle w:val="Hyperlink"/>
          </w:rPr>
          <w:t>https://doi.org/10.25318/1310074901-eng</w:t>
        </w:r>
      </w:hyperlink>
    </w:p>
    <w:p w14:paraId="1D7CA381" w14:textId="56072E8F" w:rsidR="006600A9" w:rsidRDefault="00EE08DA" w:rsidP="003F7824">
      <w:pPr>
        <w:pStyle w:val="ListParagraph"/>
        <w:numPr>
          <w:ilvl w:val="1"/>
          <w:numId w:val="4"/>
        </w:numPr>
      </w:pPr>
      <w:r w:rsidRPr="00EE08DA">
        <w:t xml:space="preserve">Canadian Council on Rehabilitation and Work. (2024, November). Awareness to action, How employers can embrace disability inclusion in the workplace. Trends Report 2024. </w:t>
      </w:r>
      <w:hyperlink r:id="rId14" w:history="1">
        <w:r w:rsidRPr="00A542DA">
          <w:rPr>
            <w:rStyle w:val="Hyperlink"/>
          </w:rPr>
          <w:t>https://ccrw.org/wp-content/uploads/2024/11/Awareness-to-action-How-employers-can-embrace-disability-inclusion-in-the-workplace_CCRW_Trends-Report-2024.pdf</w:t>
        </w:r>
      </w:hyperlink>
    </w:p>
    <w:p w14:paraId="4E0EE133" w14:textId="4BAF0602" w:rsidR="00EE08DA" w:rsidRDefault="00DC1229" w:rsidP="003F7824">
      <w:pPr>
        <w:pStyle w:val="ListParagraph"/>
        <w:numPr>
          <w:ilvl w:val="1"/>
          <w:numId w:val="4"/>
        </w:numPr>
      </w:pPr>
      <w:r w:rsidRPr="00DC1229">
        <w:t>Ravanera, C., &amp; Kaplan, S. (2019, July). Diversity and inclusion in small and medium enterprises. Institute for Gender and the Economy. https://www. gendereconomy.org/wp-content/uploads/2019/07/GATE_Diversity_Inclusion_SMEs2019.pdf</w:t>
      </w:r>
    </w:p>
    <w:p w14:paraId="748D75CB" w14:textId="2C19AC16" w:rsidR="007E511D" w:rsidRDefault="007E511D" w:rsidP="003F7824">
      <w:pPr>
        <w:pStyle w:val="ListParagraph"/>
        <w:numPr>
          <w:ilvl w:val="1"/>
          <w:numId w:val="4"/>
        </w:numPr>
      </w:pPr>
      <w:r w:rsidRPr="007E511D">
        <w:t xml:space="preserve">Canadian Human Rights Commission. (2019, January 1). Report: Roadblocks on the career path: Challenges faced by persons with disabilities in employment. </w:t>
      </w:r>
      <w:hyperlink r:id="rId15" w:history="1">
        <w:r w:rsidR="00F25C3F" w:rsidRPr="00A542DA">
          <w:rPr>
            <w:rStyle w:val="Hyperlink"/>
          </w:rPr>
          <w:t>https://www.chrc-ccdp.gc.ca/en/resources/publications/report-roadblocks-the-career-path-challenges-faced-persons-disabilities</w:t>
        </w:r>
      </w:hyperlink>
    </w:p>
    <w:p w14:paraId="78FA8036" w14:textId="63279B4E" w:rsidR="00F25C3F" w:rsidRDefault="00F25C3F" w:rsidP="003F7824">
      <w:pPr>
        <w:pStyle w:val="ListParagraph"/>
        <w:numPr>
          <w:ilvl w:val="1"/>
          <w:numId w:val="4"/>
        </w:numPr>
      </w:pPr>
      <w:r w:rsidRPr="00F25C3F">
        <w:t xml:space="preserve">Job Talks Access. (2023). National survey of workers with disabilities. </w:t>
      </w:r>
      <w:hyperlink r:id="rId16" w:history="1">
        <w:r w:rsidR="00AF5A9C" w:rsidRPr="00A542DA">
          <w:rPr>
            <w:rStyle w:val="Hyperlink"/>
          </w:rPr>
          <w:t>https://www.jobtalksaccess.com/report</w:t>
        </w:r>
      </w:hyperlink>
    </w:p>
    <w:p w14:paraId="23B94645" w14:textId="4B1E05D3" w:rsidR="00AF5A9C" w:rsidRDefault="00AF5A9C" w:rsidP="003F7824">
      <w:pPr>
        <w:pStyle w:val="ListParagraph"/>
        <w:numPr>
          <w:ilvl w:val="1"/>
          <w:numId w:val="4"/>
        </w:numPr>
      </w:pPr>
      <w:r w:rsidRPr="00AF5A9C">
        <w:t xml:space="preserve">Accenture. (2018). The disability inclusion imperative. </w:t>
      </w:r>
      <w:hyperlink r:id="rId17" w:history="1">
        <w:r w:rsidR="009B2257" w:rsidRPr="00A542DA">
          <w:rPr>
            <w:rStyle w:val="Hyperlink"/>
          </w:rPr>
          <w:t>https://www.accenture.com/content/dam/accenture/final/accenture-com/document-2/DisabilityInclusion-Report-Business-Imperative.pdf</w:t>
        </w:r>
      </w:hyperlink>
    </w:p>
    <w:p w14:paraId="707BACDF" w14:textId="7466B06B" w:rsidR="009B2257" w:rsidRPr="0038787A" w:rsidRDefault="009B2257" w:rsidP="003F7824">
      <w:pPr>
        <w:pStyle w:val="ListParagraph"/>
        <w:numPr>
          <w:ilvl w:val="1"/>
          <w:numId w:val="4"/>
        </w:numPr>
      </w:pPr>
      <w:r w:rsidRPr="009B2257">
        <w:t>Alemany, L., &amp; Vermeulen, F. (2023). Disability as a source of competitive advantage. Harvard Business Review. https://hbr.org/2023/07/disability-as-asource-of-competitive-advantage</w:t>
      </w:r>
    </w:p>
    <w:sectPr w:rsidR="009B2257" w:rsidRPr="0038787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nessa Sinclair" w:date="2026-04-21T15:27:00Z" w:initials="VS">
    <w:p w14:paraId="43F6EF27" w14:textId="77777777" w:rsidR="009C15D5" w:rsidRDefault="009C15D5" w:rsidP="009C15D5">
      <w:pPr>
        <w:pStyle w:val="CommentText"/>
      </w:pPr>
      <w:r>
        <w:rPr>
          <w:rStyle w:val="CommentReference"/>
        </w:rPr>
        <w:annotationRef/>
      </w:r>
      <w:r>
        <w:t>Needs in-text citation</w:t>
      </w:r>
    </w:p>
  </w:comment>
  <w:comment w:id="1" w:author="Vanessa Sinclair" w:date="2026-04-21T15:27:00Z" w:initials="VS">
    <w:p w14:paraId="1FB359E8" w14:textId="77777777" w:rsidR="009C15D5" w:rsidRDefault="009C15D5" w:rsidP="009C15D5">
      <w:pPr>
        <w:pStyle w:val="CommentText"/>
      </w:pPr>
      <w:r>
        <w:rPr>
          <w:rStyle w:val="CommentReference"/>
        </w:rPr>
        <w:annotationRef/>
      </w:r>
      <w:r>
        <w:t>Missing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F6EF27" w15:done="0"/>
  <w15:commentEx w15:paraId="1FB3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D0775D" w16cex:dateUtc="2026-04-21T19:27:00Z"/>
  <w16cex:commentExtensible w16cex:durableId="4EC0B50D" w16cex:dateUtc="2026-04-21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F6EF27" w16cid:durableId="2FD0775D"/>
  <w16cid:commentId w16cid:paraId="1FB359E8" w16cid:durableId="4EC0B5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573A" w14:textId="77777777" w:rsidR="00B53CBF" w:rsidRDefault="00B53CBF" w:rsidP="00C0616B">
      <w:pPr>
        <w:spacing w:after="0" w:line="240" w:lineRule="auto"/>
      </w:pPr>
      <w:r>
        <w:separator/>
      </w:r>
    </w:p>
  </w:endnote>
  <w:endnote w:type="continuationSeparator" w:id="0">
    <w:p w14:paraId="4E962E68" w14:textId="77777777" w:rsidR="00B53CBF" w:rsidRDefault="00B53CBF" w:rsidP="00C0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1814" w14:textId="77777777" w:rsidR="00B53CBF" w:rsidRDefault="00B53CBF" w:rsidP="00C0616B">
      <w:pPr>
        <w:spacing w:after="0" w:line="240" w:lineRule="auto"/>
      </w:pPr>
      <w:r>
        <w:separator/>
      </w:r>
    </w:p>
  </w:footnote>
  <w:footnote w:type="continuationSeparator" w:id="0">
    <w:p w14:paraId="2C325483" w14:textId="77777777" w:rsidR="00B53CBF" w:rsidRDefault="00B53CBF" w:rsidP="00C0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10A"/>
    <w:multiLevelType w:val="multilevel"/>
    <w:tmpl w:val="F434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0306B"/>
    <w:multiLevelType w:val="multilevel"/>
    <w:tmpl w:val="6BA65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11AFF"/>
    <w:multiLevelType w:val="hybridMultilevel"/>
    <w:tmpl w:val="4C98F4B6"/>
    <w:lvl w:ilvl="0" w:tplc="37E6C79C">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52B3561"/>
    <w:multiLevelType w:val="multilevel"/>
    <w:tmpl w:val="7EA863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B415C2"/>
    <w:multiLevelType w:val="multilevel"/>
    <w:tmpl w:val="DE5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05953">
    <w:abstractNumId w:val="2"/>
  </w:num>
  <w:num w:numId="2" w16cid:durableId="1466200275">
    <w:abstractNumId w:val="0"/>
  </w:num>
  <w:num w:numId="3" w16cid:durableId="1579288184">
    <w:abstractNumId w:val="4"/>
  </w:num>
  <w:num w:numId="4" w16cid:durableId="1517843550">
    <w:abstractNumId w:val="3"/>
  </w:num>
  <w:num w:numId="5" w16cid:durableId="18305170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nessa Sinclair">
    <w15:presenceInfo w15:providerId="AD" w15:userId="S::vsinclair@ccrw.org::b5a85280-b006-43fb-973a-45f0753db8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B8"/>
    <w:rsid w:val="000119B5"/>
    <w:rsid w:val="0001763E"/>
    <w:rsid w:val="000226FF"/>
    <w:rsid w:val="000237DB"/>
    <w:rsid w:val="00035EBE"/>
    <w:rsid w:val="000812B1"/>
    <w:rsid w:val="0009651D"/>
    <w:rsid w:val="000D09BA"/>
    <w:rsid w:val="000E251A"/>
    <w:rsid w:val="000F33F4"/>
    <w:rsid w:val="00103A79"/>
    <w:rsid w:val="001155DF"/>
    <w:rsid w:val="00120C89"/>
    <w:rsid w:val="00121259"/>
    <w:rsid w:val="00137066"/>
    <w:rsid w:val="001601CF"/>
    <w:rsid w:val="0017012B"/>
    <w:rsid w:val="001A1CA1"/>
    <w:rsid w:val="001C4AED"/>
    <w:rsid w:val="001D06F8"/>
    <w:rsid w:val="001D7667"/>
    <w:rsid w:val="001F3D58"/>
    <w:rsid w:val="001F5E93"/>
    <w:rsid w:val="00212BD1"/>
    <w:rsid w:val="002303EF"/>
    <w:rsid w:val="0026743A"/>
    <w:rsid w:val="00270E41"/>
    <w:rsid w:val="00275D95"/>
    <w:rsid w:val="00281FFE"/>
    <w:rsid w:val="002A3929"/>
    <w:rsid w:val="002B6B40"/>
    <w:rsid w:val="002D79D9"/>
    <w:rsid w:val="0031552C"/>
    <w:rsid w:val="00321EF7"/>
    <w:rsid w:val="00322E57"/>
    <w:rsid w:val="00325745"/>
    <w:rsid w:val="003502D8"/>
    <w:rsid w:val="0038787A"/>
    <w:rsid w:val="003C1E49"/>
    <w:rsid w:val="003E22BB"/>
    <w:rsid w:val="003F2C38"/>
    <w:rsid w:val="003F7824"/>
    <w:rsid w:val="004013CE"/>
    <w:rsid w:val="00423F8B"/>
    <w:rsid w:val="00440BA9"/>
    <w:rsid w:val="0048753A"/>
    <w:rsid w:val="00496321"/>
    <w:rsid w:val="004A6C27"/>
    <w:rsid w:val="004A78D4"/>
    <w:rsid w:val="004C2FCC"/>
    <w:rsid w:val="00500507"/>
    <w:rsid w:val="00520F27"/>
    <w:rsid w:val="005357E1"/>
    <w:rsid w:val="005411B8"/>
    <w:rsid w:val="0055052A"/>
    <w:rsid w:val="00576C5B"/>
    <w:rsid w:val="005D39B4"/>
    <w:rsid w:val="005E71A4"/>
    <w:rsid w:val="00602B0A"/>
    <w:rsid w:val="00616D6D"/>
    <w:rsid w:val="006370D6"/>
    <w:rsid w:val="006600A9"/>
    <w:rsid w:val="00667695"/>
    <w:rsid w:val="00675CA9"/>
    <w:rsid w:val="006803A4"/>
    <w:rsid w:val="0068150A"/>
    <w:rsid w:val="006E2469"/>
    <w:rsid w:val="006F0237"/>
    <w:rsid w:val="00736A92"/>
    <w:rsid w:val="00757230"/>
    <w:rsid w:val="00762743"/>
    <w:rsid w:val="0076455F"/>
    <w:rsid w:val="0076664E"/>
    <w:rsid w:val="007905C1"/>
    <w:rsid w:val="007A1930"/>
    <w:rsid w:val="007D1FE5"/>
    <w:rsid w:val="007E511D"/>
    <w:rsid w:val="00800C6F"/>
    <w:rsid w:val="00806C55"/>
    <w:rsid w:val="00870135"/>
    <w:rsid w:val="00873041"/>
    <w:rsid w:val="00885039"/>
    <w:rsid w:val="008A4973"/>
    <w:rsid w:val="008A73DB"/>
    <w:rsid w:val="00911110"/>
    <w:rsid w:val="00917E23"/>
    <w:rsid w:val="00952CEA"/>
    <w:rsid w:val="00955785"/>
    <w:rsid w:val="00982387"/>
    <w:rsid w:val="009830B0"/>
    <w:rsid w:val="00984B17"/>
    <w:rsid w:val="009863FF"/>
    <w:rsid w:val="009B12A8"/>
    <w:rsid w:val="009B2257"/>
    <w:rsid w:val="009B2AB7"/>
    <w:rsid w:val="009B51B2"/>
    <w:rsid w:val="009C15D5"/>
    <w:rsid w:val="009C6398"/>
    <w:rsid w:val="009F781B"/>
    <w:rsid w:val="00A1142B"/>
    <w:rsid w:val="00A16952"/>
    <w:rsid w:val="00A243E9"/>
    <w:rsid w:val="00A3076B"/>
    <w:rsid w:val="00A30967"/>
    <w:rsid w:val="00A51B48"/>
    <w:rsid w:val="00A95D05"/>
    <w:rsid w:val="00AB3CD6"/>
    <w:rsid w:val="00AF5A9C"/>
    <w:rsid w:val="00B12E8A"/>
    <w:rsid w:val="00B344BD"/>
    <w:rsid w:val="00B41FAF"/>
    <w:rsid w:val="00B50AA1"/>
    <w:rsid w:val="00B53CBF"/>
    <w:rsid w:val="00B71860"/>
    <w:rsid w:val="00B77BA7"/>
    <w:rsid w:val="00BA7730"/>
    <w:rsid w:val="00BD2370"/>
    <w:rsid w:val="00BD3745"/>
    <w:rsid w:val="00C0616B"/>
    <w:rsid w:val="00C36089"/>
    <w:rsid w:val="00C61AFF"/>
    <w:rsid w:val="00C670AF"/>
    <w:rsid w:val="00C76C7B"/>
    <w:rsid w:val="00C94FA3"/>
    <w:rsid w:val="00CA2300"/>
    <w:rsid w:val="00CB60D7"/>
    <w:rsid w:val="00CD3B74"/>
    <w:rsid w:val="00CD3E94"/>
    <w:rsid w:val="00D04074"/>
    <w:rsid w:val="00D13CFA"/>
    <w:rsid w:val="00D26C11"/>
    <w:rsid w:val="00D766B8"/>
    <w:rsid w:val="00DC073C"/>
    <w:rsid w:val="00DC1229"/>
    <w:rsid w:val="00DC481D"/>
    <w:rsid w:val="00DC5C1F"/>
    <w:rsid w:val="00DD1B1C"/>
    <w:rsid w:val="00E10A04"/>
    <w:rsid w:val="00E118EB"/>
    <w:rsid w:val="00E11B30"/>
    <w:rsid w:val="00E26F94"/>
    <w:rsid w:val="00E45967"/>
    <w:rsid w:val="00E50A01"/>
    <w:rsid w:val="00E61E8F"/>
    <w:rsid w:val="00EA337A"/>
    <w:rsid w:val="00EB089C"/>
    <w:rsid w:val="00EB3655"/>
    <w:rsid w:val="00EE08DA"/>
    <w:rsid w:val="00F15D70"/>
    <w:rsid w:val="00F17083"/>
    <w:rsid w:val="00F229CB"/>
    <w:rsid w:val="00F24CCA"/>
    <w:rsid w:val="00F25C3F"/>
    <w:rsid w:val="00F27C83"/>
    <w:rsid w:val="00F32D06"/>
    <w:rsid w:val="00F56259"/>
    <w:rsid w:val="00F601D5"/>
    <w:rsid w:val="00F72B45"/>
    <w:rsid w:val="00F87F4C"/>
    <w:rsid w:val="00FB5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986C"/>
  <w15:chartTrackingRefBased/>
  <w15:docId w15:val="{3CDBA129-E013-4B1B-9D24-CF43AD78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A04"/>
    <w:pPr>
      <w:keepNext/>
      <w:keepLines/>
      <w:spacing w:before="360" w:after="80"/>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5411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1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1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1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1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1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1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1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A04"/>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5411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1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1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1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1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1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1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1B8"/>
    <w:rPr>
      <w:rFonts w:eastAsiaTheme="majorEastAsia" w:cstheme="majorBidi"/>
      <w:color w:val="272727" w:themeColor="text1" w:themeTint="D8"/>
    </w:rPr>
  </w:style>
  <w:style w:type="paragraph" w:styleId="Title">
    <w:name w:val="Title"/>
    <w:basedOn w:val="Normal"/>
    <w:next w:val="Normal"/>
    <w:link w:val="TitleChar"/>
    <w:uiPriority w:val="10"/>
    <w:qFormat/>
    <w:rsid w:val="005411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1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1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1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1B8"/>
    <w:pPr>
      <w:spacing w:before="160"/>
      <w:jc w:val="center"/>
    </w:pPr>
    <w:rPr>
      <w:i/>
      <w:iCs/>
      <w:color w:val="404040" w:themeColor="text1" w:themeTint="BF"/>
    </w:rPr>
  </w:style>
  <w:style w:type="character" w:customStyle="1" w:styleId="QuoteChar">
    <w:name w:val="Quote Char"/>
    <w:basedOn w:val="DefaultParagraphFont"/>
    <w:link w:val="Quote"/>
    <w:uiPriority w:val="29"/>
    <w:rsid w:val="005411B8"/>
    <w:rPr>
      <w:i/>
      <w:iCs/>
      <w:color w:val="404040" w:themeColor="text1" w:themeTint="BF"/>
    </w:rPr>
  </w:style>
  <w:style w:type="paragraph" w:styleId="ListParagraph">
    <w:name w:val="List Paragraph"/>
    <w:basedOn w:val="Normal"/>
    <w:uiPriority w:val="34"/>
    <w:qFormat/>
    <w:rsid w:val="005411B8"/>
    <w:pPr>
      <w:ind w:left="720"/>
      <w:contextualSpacing/>
    </w:pPr>
  </w:style>
  <w:style w:type="character" w:styleId="IntenseEmphasis">
    <w:name w:val="Intense Emphasis"/>
    <w:basedOn w:val="DefaultParagraphFont"/>
    <w:uiPriority w:val="21"/>
    <w:qFormat/>
    <w:rsid w:val="005411B8"/>
    <w:rPr>
      <w:i/>
      <w:iCs/>
      <w:color w:val="0F4761" w:themeColor="accent1" w:themeShade="BF"/>
    </w:rPr>
  </w:style>
  <w:style w:type="paragraph" w:styleId="IntenseQuote">
    <w:name w:val="Intense Quote"/>
    <w:basedOn w:val="Normal"/>
    <w:next w:val="Normal"/>
    <w:link w:val="IntenseQuoteChar"/>
    <w:uiPriority w:val="30"/>
    <w:qFormat/>
    <w:rsid w:val="005411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1B8"/>
    <w:rPr>
      <w:i/>
      <w:iCs/>
      <w:color w:val="0F4761" w:themeColor="accent1" w:themeShade="BF"/>
    </w:rPr>
  </w:style>
  <w:style w:type="character" w:styleId="IntenseReference">
    <w:name w:val="Intense Reference"/>
    <w:basedOn w:val="DefaultParagraphFont"/>
    <w:uiPriority w:val="32"/>
    <w:qFormat/>
    <w:rsid w:val="005411B8"/>
    <w:rPr>
      <w:b/>
      <w:bCs/>
      <w:smallCaps/>
      <w:color w:val="0F4761" w:themeColor="accent1" w:themeShade="BF"/>
      <w:spacing w:val="5"/>
    </w:rPr>
  </w:style>
  <w:style w:type="paragraph" w:styleId="FootnoteText">
    <w:name w:val="footnote text"/>
    <w:basedOn w:val="Normal"/>
    <w:link w:val="FootnoteTextChar"/>
    <w:uiPriority w:val="99"/>
    <w:semiHidden/>
    <w:unhideWhenUsed/>
    <w:rsid w:val="00C06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16B"/>
    <w:rPr>
      <w:sz w:val="20"/>
      <w:szCs w:val="20"/>
    </w:rPr>
  </w:style>
  <w:style w:type="character" w:styleId="FootnoteReference">
    <w:name w:val="footnote reference"/>
    <w:basedOn w:val="DefaultParagraphFont"/>
    <w:uiPriority w:val="99"/>
    <w:semiHidden/>
    <w:unhideWhenUsed/>
    <w:rsid w:val="00C0616B"/>
    <w:rPr>
      <w:vertAlign w:val="superscript"/>
    </w:rPr>
  </w:style>
  <w:style w:type="character" w:styleId="Hyperlink">
    <w:name w:val="Hyperlink"/>
    <w:basedOn w:val="DefaultParagraphFont"/>
    <w:uiPriority w:val="99"/>
    <w:unhideWhenUsed/>
    <w:rsid w:val="00C0616B"/>
    <w:rPr>
      <w:color w:val="467886" w:themeColor="hyperlink"/>
      <w:u w:val="single"/>
    </w:rPr>
  </w:style>
  <w:style w:type="character" w:styleId="UnresolvedMention">
    <w:name w:val="Unresolved Mention"/>
    <w:basedOn w:val="DefaultParagraphFont"/>
    <w:uiPriority w:val="99"/>
    <w:semiHidden/>
    <w:unhideWhenUsed/>
    <w:rsid w:val="00C0616B"/>
    <w:rPr>
      <w:color w:val="605E5C"/>
      <w:shd w:val="clear" w:color="auto" w:fill="E1DFDD"/>
    </w:rPr>
  </w:style>
  <w:style w:type="paragraph" w:styleId="EndnoteText">
    <w:name w:val="endnote text"/>
    <w:basedOn w:val="Normal"/>
    <w:link w:val="EndnoteTextChar"/>
    <w:uiPriority w:val="99"/>
    <w:semiHidden/>
    <w:unhideWhenUsed/>
    <w:rsid w:val="00A243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43E9"/>
    <w:rPr>
      <w:sz w:val="20"/>
      <w:szCs w:val="20"/>
    </w:rPr>
  </w:style>
  <w:style w:type="character" w:styleId="EndnoteReference">
    <w:name w:val="endnote reference"/>
    <w:basedOn w:val="DefaultParagraphFont"/>
    <w:uiPriority w:val="99"/>
    <w:semiHidden/>
    <w:unhideWhenUsed/>
    <w:rsid w:val="00A243E9"/>
    <w:rPr>
      <w:vertAlign w:val="superscript"/>
    </w:rPr>
  </w:style>
  <w:style w:type="character" w:styleId="CommentReference">
    <w:name w:val="annotation reference"/>
    <w:basedOn w:val="DefaultParagraphFont"/>
    <w:uiPriority w:val="99"/>
    <w:semiHidden/>
    <w:unhideWhenUsed/>
    <w:rsid w:val="00B50AA1"/>
    <w:rPr>
      <w:sz w:val="16"/>
      <w:szCs w:val="16"/>
    </w:rPr>
  </w:style>
  <w:style w:type="paragraph" w:styleId="CommentText">
    <w:name w:val="annotation text"/>
    <w:basedOn w:val="Normal"/>
    <w:link w:val="CommentTextChar"/>
    <w:uiPriority w:val="99"/>
    <w:unhideWhenUsed/>
    <w:rsid w:val="00B50AA1"/>
    <w:pPr>
      <w:spacing w:line="240" w:lineRule="auto"/>
    </w:pPr>
    <w:rPr>
      <w:sz w:val="20"/>
      <w:szCs w:val="20"/>
    </w:rPr>
  </w:style>
  <w:style w:type="character" w:customStyle="1" w:styleId="CommentTextChar">
    <w:name w:val="Comment Text Char"/>
    <w:basedOn w:val="DefaultParagraphFont"/>
    <w:link w:val="CommentText"/>
    <w:uiPriority w:val="99"/>
    <w:rsid w:val="00B50AA1"/>
    <w:rPr>
      <w:sz w:val="20"/>
      <w:szCs w:val="20"/>
    </w:rPr>
  </w:style>
  <w:style w:type="paragraph" w:styleId="CommentSubject">
    <w:name w:val="annotation subject"/>
    <w:basedOn w:val="CommentText"/>
    <w:next w:val="CommentText"/>
    <w:link w:val="CommentSubjectChar"/>
    <w:uiPriority w:val="99"/>
    <w:semiHidden/>
    <w:unhideWhenUsed/>
    <w:rsid w:val="00B50AA1"/>
    <w:rPr>
      <w:b/>
      <w:bCs/>
    </w:rPr>
  </w:style>
  <w:style w:type="character" w:customStyle="1" w:styleId="CommentSubjectChar">
    <w:name w:val="Comment Subject Char"/>
    <w:basedOn w:val="CommentTextChar"/>
    <w:link w:val="CommentSubject"/>
    <w:uiPriority w:val="99"/>
    <w:semiHidden/>
    <w:rsid w:val="00B50A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5318/1310074901-e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926-022-10076-1" TargetMode="External"/><Relationship Id="rId17" Type="http://schemas.openxmlformats.org/officeDocument/2006/relationships/hyperlink" Target="https://www.accenture.com/content/dam/accenture/final/accenture-com/document-2/DisabilityInclusion-Report-Business-Imperative.pdf" TargetMode="External"/><Relationship Id="rId2" Type="http://schemas.openxmlformats.org/officeDocument/2006/relationships/numbering" Target="numbering.xml"/><Relationship Id="rId16" Type="http://schemas.openxmlformats.org/officeDocument/2006/relationships/hyperlink" Target="https://www.jobtalksaccess.com/repo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chrc-ccdp.gc.ca/en/resources/publications/report-roadblocks-the-career-path-challenges-faced-persons-disabilities"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crw.org/wp-content/uploads/2024/11/Awareness-to-action-How-employers-can-embrace-disability-inclusion-in-the-workplace_CCRW_Trends-Report-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A3FD-6A2D-4ADA-92EF-B800B16E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8</Pages>
  <Words>2774</Words>
  <Characters>18117</Characters>
  <Application>Microsoft Office Word</Application>
  <DocSecurity>0</DocSecurity>
  <Lines>1509</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Normore</dc:creator>
  <cp:keywords/>
  <dc:description/>
  <cp:lastModifiedBy>Jeffrey Normore</cp:lastModifiedBy>
  <cp:revision>149</cp:revision>
  <dcterms:created xsi:type="dcterms:W3CDTF">2026-02-27T14:11:00Z</dcterms:created>
  <dcterms:modified xsi:type="dcterms:W3CDTF">2026-04-29T12:42:00Z</dcterms:modified>
</cp:coreProperties>
</file>