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1922" w14:textId="4C8BF447" w:rsidR="0036538D" w:rsidRPr="00CF0C7D" w:rsidRDefault="0036538D">
      <w:pPr>
        <w:pStyle w:val="Heading1"/>
        <w:rPr>
          <w:lang w:val="fr-CA"/>
        </w:rPr>
      </w:pPr>
    </w:p>
    <w:p w14:paraId="43A97BBC" w14:textId="0F577DFC" w:rsidR="004B4146" w:rsidRPr="00CF0C7D" w:rsidRDefault="000D7600" w:rsidP="004B4146">
      <w:pPr>
        <w:spacing w:after="953"/>
        <w:ind w:left="29"/>
        <w:rPr>
          <w:rFonts w:cs="Arial"/>
          <w:sz w:val="36"/>
          <w:szCs w:val="36"/>
        </w:rPr>
      </w:pPr>
      <w:r w:rsidRPr="00CF0C7D">
        <w:rPr>
          <w:rFonts w:cs="Arial"/>
          <w:noProof/>
          <w:sz w:val="48"/>
          <w:szCs w:val="48"/>
        </w:rPr>
        <w:drawing>
          <wp:anchor distT="0" distB="0" distL="114300" distR="114300" simplePos="0" relativeHeight="251658240" behindDoc="0" locked="0" layoutInCell="1" allowOverlap="0" wp14:anchorId="31B5A5D5" wp14:editId="15D62C41">
            <wp:simplePos x="0" y="0"/>
            <wp:positionH relativeFrom="page">
              <wp:align>left</wp:align>
            </wp:positionH>
            <wp:positionV relativeFrom="page">
              <wp:posOffset>3424555</wp:posOffset>
            </wp:positionV>
            <wp:extent cx="7562088" cy="4386583"/>
            <wp:effectExtent l="0" t="0" r="1270" b="0"/>
            <wp:wrapTopAndBottom/>
            <wp:docPr id="11100" name="Picture 11100" descr="Conception de la page de titre du document du CCRW :&#10;&#10;Première case : Encadré décoratif bleu foncé.&#10;&#10;Deuxième case : Photo d’un ancien demandeur d’emploi du CCRW travaillant à la caisse de son lieu de travail et discutant avec un client. &#10;&#10;Troisième case : Photo d’un demandeur d’emploi du CCRW au bureau du CCRW à Vancouver, souriant et pointant du doigt l’écran d’un ordinateur portable. &#10;&#10;Quatrième encadré : Photo d’un ancien demandeur d’emploi du CCRW à son poste de travail, en train de distribuer des circulaires à un client. &#10;&#10;Cinquième encadré : Photo d’un ancien demandeur d’emploi du CCRW à son poste de travail, en train d’accrocher des vêtements sur un portemanteau. &#10;&#10;Sixième encadré : Encadré décoratif rouge. "/>
            <wp:cNvGraphicFramePr/>
            <a:graphic xmlns:a="http://schemas.openxmlformats.org/drawingml/2006/main">
              <a:graphicData uri="http://schemas.openxmlformats.org/drawingml/2006/picture">
                <pic:pic xmlns:pic="http://schemas.openxmlformats.org/drawingml/2006/picture">
                  <pic:nvPicPr>
                    <pic:cNvPr id="11100" name="Picture 11100" descr="Conception de la page de titre du document du CCRW :&#10;&#10;Première case : Encadré décoratif bleu foncé.&#10;&#10;Deuxième case : Photo d’un ancien demandeur d’emploi du CCRW travaillant à la caisse de son lieu de travail et discutant avec un client. &#10;&#10;Troisième case : Photo d’un demandeur d’emploi du CCRW au bureau du CCRW à Vancouver, souriant et pointant du doigt l’écran d’un ordinateur portable. &#10;&#10;Quatrième encadré : Photo d’un ancien demandeur d’emploi du CCRW à son poste de travail, en train de distribuer des circulaires à un client. &#10;&#10;Cinquième encadré : Photo d’un ancien demandeur d’emploi du CCRW à son poste de travail, en train d’accrocher des vêtements sur un portemanteau. &#10;&#10;Sixième encadré : Encadré décoratif rouge. "/>
                    <pic:cNvPicPr/>
                  </pic:nvPicPr>
                  <pic:blipFill>
                    <a:blip r:embed="rId11">
                      <a:extLst>
                        <a:ext uri="{28A0092B-C50C-407E-A947-70E740481C1C}">
                          <a14:useLocalDpi xmlns:a14="http://schemas.microsoft.com/office/drawing/2010/main" val="0"/>
                        </a:ext>
                      </a:extLst>
                    </a:blip>
                    <a:stretch>
                      <a:fillRect/>
                    </a:stretch>
                  </pic:blipFill>
                  <pic:spPr>
                    <a:xfrm>
                      <a:off x="0" y="0"/>
                      <a:ext cx="7562088" cy="4386583"/>
                    </a:xfrm>
                    <a:prstGeom prst="rect">
                      <a:avLst/>
                    </a:prstGeom>
                  </pic:spPr>
                </pic:pic>
              </a:graphicData>
            </a:graphic>
          </wp:anchor>
        </w:drawing>
      </w:r>
      <w:r w:rsidR="00431538" w:rsidRPr="00CF0C7D">
        <w:rPr>
          <w:rFonts w:cs="Arial"/>
          <w:sz w:val="48"/>
          <w:szCs w:val="48"/>
        </w:rPr>
        <w:t>Trouver la compréhension grâce à la recherche pour les futurs talents (« SURF »)</w:t>
      </w:r>
      <w:r w:rsidR="002E0005" w:rsidRPr="00CF0C7D">
        <w:rPr>
          <w:rFonts w:cs="Arial"/>
          <w:sz w:val="72"/>
          <w:szCs w:val="72"/>
          <w:lang w:eastAsia="en-US"/>
        </w:rPr>
        <w:br/>
      </w:r>
      <w:r w:rsidR="00431538" w:rsidRPr="00CF0C7D">
        <w:rPr>
          <w:rFonts w:cs="Arial"/>
          <w:sz w:val="36"/>
          <w:szCs w:val="36"/>
        </w:rPr>
        <w:t>Rapport de recherche final</w:t>
      </w:r>
      <w:r w:rsidR="001D177D" w:rsidRPr="00CF0C7D">
        <w:rPr>
          <w:rFonts w:cs="Arial"/>
          <w:sz w:val="36"/>
          <w:szCs w:val="36"/>
        </w:rPr>
        <w:br/>
      </w:r>
      <w:r w:rsidR="000C7621" w:rsidRPr="00CF0C7D">
        <w:rPr>
          <w:rFonts w:cs="Arial"/>
          <w:sz w:val="24"/>
        </w:rPr>
        <w:br/>
      </w:r>
      <w:r w:rsidR="001754C9" w:rsidRPr="00CF0C7D">
        <w:rPr>
          <w:rFonts w:cs="Arial"/>
          <w:sz w:val="24"/>
        </w:rPr>
        <w:br/>
      </w:r>
      <w:r w:rsidR="00431538" w:rsidRPr="00CF0C7D">
        <w:rPr>
          <w:rFonts w:cs="Arial"/>
          <w:sz w:val="24"/>
        </w:rPr>
        <w:t>le 31 mars 2026</w:t>
      </w:r>
    </w:p>
    <w:p w14:paraId="5BD17D1D" w14:textId="15B5294B" w:rsidR="00431538" w:rsidRPr="00CF0C7D" w:rsidRDefault="00A26DE7" w:rsidP="00431538">
      <w:pPr>
        <w:spacing w:after="953"/>
        <w:ind w:left="29"/>
        <w:rPr>
          <w:rFonts w:cs="Arial"/>
          <w:sz w:val="24"/>
        </w:rPr>
      </w:pPr>
      <w:r w:rsidRPr="00CF0C7D">
        <w:rPr>
          <w:rFonts w:cs="Arial"/>
          <w:sz w:val="24"/>
        </w:rPr>
        <w:br/>
      </w:r>
      <w:r w:rsidRPr="00CF0C7D">
        <w:rPr>
          <w:rFonts w:cs="Arial"/>
          <w:sz w:val="24"/>
        </w:rPr>
        <w:br/>
      </w:r>
      <w:r w:rsidRPr="00CF0C7D">
        <w:rPr>
          <w:rFonts w:cs="Arial"/>
          <w:sz w:val="24"/>
        </w:rPr>
        <w:br/>
      </w:r>
      <w:r w:rsidR="00431538" w:rsidRPr="00CF0C7D">
        <w:rPr>
          <w:rFonts w:cs="Arial"/>
          <w:sz w:val="24"/>
        </w:rPr>
        <w:t>Auteurs :</w:t>
      </w:r>
      <w:r w:rsidR="00431538" w:rsidRPr="00CF0C7D">
        <w:rPr>
          <w:rFonts w:cs="Arial"/>
          <w:sz w:val="24"/>
        </w:rPr>
        <w:br/>
        <w:t>Vanessa Sinclair, Ph. D., directrice de la recherche et de l’évaluation</w:t>
      </w:r>
      <w:r w:rsidR="00431538" w:rsidRPr="00CF0C7D">
        <w:rPr>
          <w:rFonts w:cs="Arial"/>
          <w:sz w:val="24"/>
        </w:rPr>
        <w:br/>
        <w:t>Michelle Willson, M.A., spécialiste en évaluation</w:t>
      </w:r>
    </w:p>
    <w:p w14:paraId="09BAD1C3" w14:textId="68493A84" w:rsidR="006B46BA" w:rsidRPr="00CF0C7D" w:rsidRDefault="00431538" w:rsidP="00431538">
      <w:pPr>
        <w:spacing w:after="953"/>
        <w:ind w:left="29"/>
        <w:rPr>
          <w:rFonts w:cs="Arial"/>
          <w:sz w:val="24"/>
        </w:rPr>
      </w:pPr>
      <w:r w:rsidRPr="00CF0C7D">
        <w:rPr>
          <w:rFonts w:cs="Arial"/>
          <w:sz w:val="24"/>
        </w:rPr>
        <w:t>Conseil canadien de la réadaptation et du travail</w:t>
      </w:r>
    </w:p>
    <w:p w14:paraId="7C3FC4F6" w14:textId="77777777" w:rsidR="00741497" w:rsidRPr="00CF0C7D" w:rsidRDefault="00741497" w:rsidP="004B4146">
      <w:pPr>
        <w:spacing w:after="953"/>
        <w:ind w:left="29"/>
        <w:rPr>
          <w:rFonts w:cs="Arial"/>
          <w:sz w:val="24"/>
        </w:rPr>
      </w:pPr>
    </w:p>
    <w:p w14:paraId="4EF6599C" w14:textId="77777777" w:rsidR="00741497" w:rsidRPr="00CF0C7D" w:rsidRDefault="00741497" w:rsidP="004B4146">
      <w:pPr>
        <w:spacing w:after="953"/>
        <w:ind w:left="29"/>
        <w:rPr>
          <w:rFonts w:cs="Arial"/>
          <w:sz w:val="24"/>
        </w:rPr>
      </w:pPr>
    </w:p>
    <w:p w14:paraId="4DE6EE6C" w14:textId="6CF5A5D0" w:rsidR="00D05E36" w:rsidRPr="00CF0C7D" w:rsidRDefault="00D05E36" w:rsidP="004B4146">
      <w:pPr>
        <w:spacing w:after="953"/>
        <w:ind w:left="29"/>
        <w:rPr>
          <w:rFonts w:cs="Arial"/>
          <w:sz w:val="24"/>
        </w:rPr>
      </w:pPr>
    </w:p>
    <w:p w14:paraId="24C0D882" w14:textId="77777777" w:rsidR="005E007A" w:rsidRPr="00CF0C7D" w:rsidRDefault="005E007A" w:rsidP="004B4146">
      <w:pPr>
        <w:spacing w:after="953"/>
        <w:ind w:left="29"/>
        <w:rPr>
          <w:rFonts w:cs="Arial"/>
          <w:sz w:val="24"/>
        </w:rPr>
      </w:pPr>
    </w:p>
    <w:p w14:paraId="2FFE3F7E" w14:textId="2ECA87AF" w:rsidR="00D05E36" w:rsidRPr="00CF0C7D" w:rsidRDefault="00431538" w:rsidP="00D05E36">
      <w:pPr>
        <w:spacing w:line="278" w:lineRule="auto"/>
        <w:jc w:val="center"/>
      </w:pPr>
      <w:r w:rsidRPr="00CF0C7D">
        <w:t>Ce projet a été rendu possible grâce au soutien financier de Normes d'accessibilité Canada. Les résultats, conclusions et recommandations présentés ici sont ceux des auteurs et ne reflètent pas les opinions officielles de Normes d'accessibilité Canada.</w:t>
      </w:r>
      <w:r w:rsidRPr="00CF0C7D">
        <w:br/>
      </w:r>
    </w:p>
    <w:p w14:paraId="47D6A402" w14:textId="439DF4E0" w:rsidR="00D05E36" w:rsidRPr="00CF0C7D" w:rsidRDefault="00431538" w:rsidP="00D05E36">
      <w:pPr>
        <w:spacing w:line="278" w:lineRule="auto"/>
        <w:jc w:val="center"/>
      </w:pPr>
      <w:r w:rsidRPr="00CF0C7D">
        <w:rPr>
          <w:rFonts w:cs="Arial"/>
          <w:noProof/>
          <w:sz w:val="24"/>
        </w:rPr>
        <w:drawing>
          <wp:inline distT="0" distB="0" distL="0" distR="0" wp14:anchorId="1A56111F" wp14:editId="47A103B6">
            <wp:extent cx="2343150" cy="406400"/>
            <wp:effectExtent l="0" t="0" r="0" b="0"/>
            <wp:docPr id="1673404492" name="Picture 1" descr="Voici une image du logo de Normes d’accessibilité Canada. Elle comporte l’inscription « Normes d’accessibilité Canada » en noir à droite, ainsi qu’une image en noir et blanc du drapeau canadien à ga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04492" name="Picture 1" descr="Voici une image du logo de Normes d’accessibilité Canada. Elle comporte l’inscription « Normes d’accessibilité Canada » en noir à droite, ainsi qu’une image en noir et blanc du drapeau canadien à gauch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406400"/>
                    </a:xfrm>
                    <a:prstGeom prst="rect">
                      <a:avLst/>
                    </a:prstGeom>
                    <a:noFill/>
                    <a:ln>
                      <a:noFill/>
                    </a:ln>
                  </pic:spPr>
                </pic:pic>
              </a:graphicData>
            </a:graphic>
          </wp:inline>
        </w:drawing>
      </w:r>
      <w:r w:rsidR="00D05E36" w:rsidRPr="00CF0C7D">
        <w:rPr>
          <w:noProof/>
        </w:rPr>
        <w:drawing>
          <wp:inline distT="0" distB="0" distL="0" distR="0" wp14:anchorId="55EB360A" wp14:editId="28BE52AF">
            <wp:extent cx="1304925" cy="440033"/>
            <wp:effectExtent l="0" t="0" r="0" b="0"/>
            <wp:docPr id="1929659898" name="Picture 2" descr="Voici une image du logo du gouvernement du Canada. Elle comporte le mot « Canada » en lettres noires ainsi qu’une petite image en noir et blanc du drapeau canadien dans le coin supérieur dro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59898" name="Picture 2" descr="Voici une image du logo du gouvernement du Canada. Elle comporte le mot « Canada » en lettres noires ainsi qu’une petite image en noir et blanc du drapeau canadien dans le coin supérieur droi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8576" cy="444636"/>
                    </a:xfrm>
                    <a:prstGeom prst="rect">
                      <a:avLst/>
                    </a:prstGeom>
                    <a:noFill/>
                    <a:ln>
                      <a:noFill/>
                    </a:ln>
                  </pic:spPr>
                </pic:pic>
              </a:graphicData>
            </a:graphic>
          </wp:inline>
        </w:drawing>
      </w:r>
    </w:p>
    <w:p w14:paraId="105EB566" w14:textId="77777777" w:rsidR="00D05E36" w:rsidRPr="00CF0C7D" w:rsidRDefault="00D05E36" w:rsidP="00D05E36">
      <w:pPr>
        <w:spacing w:line="278" w:lineRule="auto"/>
        <w:jc w:val="center"/>
      </w:pPr>
    </w:p>
    <w:p w14:paraId="1C61C746" w14:textId="77777777" w:rsidR="00D05E36" w:rsidRPr="00CF0C7D" w:rsidRDefault="00D05E36" w:rsidP="00D05E36">
      <w:pPr>
        <w:spacing w:line="278" w:lineRule="auto"/>
        <w:jc w:val="center"/>
      </w:pPr>
    </w:p>
    <w:p w14:paraId="6E268B43" w14:textId="77777777" w:rsidR="00D05E36" w:rsidRPr="00CF0C7D" w:rsidRDefault="00D05E36" w:rsidP="00D05E36">
      <w:pPr>
        <w:spacing w:line="278" w:lineRule="auto"/>
        <w:jc w:val="center"/>
      </w:pPr>
    </w:p>
    <w:p w14:paraId="57B98A71" w14:textId="77777777" w:rsidR="00D05E36" w:rsidRPr="00CF0C7D" w:rsidRDefault="00D05E36" w:rsidP="00D05E36">
      <w:pPr>
        <w:spacing w:line="278" w:lineRule="auto"/>
        <w:jc w:val="center"/>
      </w:pPr>
    </w:p>
    <w:p w14:paraId="29CF067B" w14:textId="77777777" w:rsidR="005E007A" w:rsidRPr="00CF0C7D" w:rsidRDefault="005E007A" w:rsidP="00D05E36">
      <w:pPr>
        <w:spacing w:line="278" w:lineRule="auto"/>
        <w:jc w:val="center"/>
      </w:pPr>
    </w:p>
    <w:p w14:paraId="0400E9B2" w14:textId="77777777" w:rsidR="00D05E36" w:rsidRPr="00CF0C7D" w:rsidRDefault="00D05E36" w:rsidP="00D05E36">
      <w:pPr>
        <w:spacing w:line="278" w:lineRule="auto"/>
        <w:jc w:val="center"/>
      </w:pPr>
    </w:p>
    <w:p w14:paraId="32120092" w14:textId="77777777" w:rsidR="00D05E36" w:rsidRPr="00CF0C7D" w:rsidRDefault="00D05E36" w:rsidP="00D05E36">
      <w:pPr>
        <w:spacing w:line="278" w:lineRule="auto"/>
        <w:jc w:val="center"/>
      </w:pPr>
    </w:p>
    <w:p w14:paraId="6D40E6DD" w14:textId="77777777" w:rsidR="00C842F7" w:rsidRPr="00CF0C7D" w:rsidRDefault="00C842F7" w:rsidP="00D05E36">
      <w:pPr>
        <w:spacing w:line="278" w:lineRule="auto"/>
        <w:jc w:val="center"/>
      </w:pPr>
    </w:p>
    <w:p w14:paraId="77ACAFA3" w14:textId="77777777" w:rsidR="00D05E36" w:rsidRPr="00CF0C7D" w:rsidRDefault="00D05E36" w:rsidP="00D05E36">
      <w:pPr>
        <w:pBdr>
          <w:bottom w:val="single" w:sz="6" w:space="1" w:color="auto"/>
        </w:pBdr>
        <w:spacing w:line="278" w:lineRule="auto"/>
      </w:pPr>
    </w:p>
    <w:p w14:paraId="1EADC0A3" w14:textId="77E26759" w:rsidR="00741497" w:rsidRPr="00CF0C7D" w:rsidRDefault="00431538">
      <w:pPr>
        <w:spacing w:after="0" w:line="240" w:lineRule="auto"/>
      </w:pPr>
      <w:r w:rsidRPr="00CF0C7D">
        <w:t>Ce document peut être utilisé et partagé à condition que le Conseil canadien de la réadaptation et du travail soit mentionné comme source, que son contenu ne soit pas modifié et que son utilisation soit à des fins non commerciales. Pour obtenir l’autorisation de modifier le contenu et/ou de l’utiliser à des fins commerciales, veuillez communiquer avec le Conseil canadien de la réadaptation et du travail.</w:t>
      </w:r>
      <w:r w:rsidR="00741497" w:rsidRPr="00CF0C7D">
        <w:br w:type="page"/>
      </w:r>
    </w:p>
    <w:p w14:paraId="6536DA52" w14:textId="62875465" w:rsidR="000C7621" w:rsidRPr="00CF0C7D" w:rsidRDefault="00431538" w:rsidP="00493780">
      <w:pPr>
        <w:pStyle w:val="Heading3"/>
        <w:rPr>
          <w:b/>
          <w:bCs/>
          <w:lang w:eastAsia="en-US"/>
        </w:rPr>
      </w:pPr>
      <w:r w:rsidRPr="00CF0C7D">
        <w:rPr>
          <w:b/>
          <w:bCs/>
          <w:lang w:eastAsia="en-US"/>
        </w:rPr>
        <w:lastRenderedPageBreak/>
        <w:t>Table des matières</w:t>
      </w:r>
    </w:p>
    <w:p w14:paraId="1D932CE4" w14:textId="47562194" w:rsidR="0045247B" w:rsidRDefault="000C7621">
      <w:pPr>
        <w:pStyle w:val="TOC1"/>
        <w:tabs>
          <w:tab w:val="right" w:leader="dot" w:pos="9475"/>
        </w:tabs>
        <w:rPr>
          <w:rFonts w:asciiTheme="minorHAnsi" w:eastAsiaTheme="minorEastAsia" w:hAnsiTheme="minorHAnsi" w:cstheme="minorBidi"/>
          <w:noProof/>
          <w:color w:val="auto"/>
          <w:sz w:val="24"/>
          <w:lang w:val="en-US" w:eastAsia="en-US"/>
        </w:rPr>
      </w:pPr>
      <w:r w:rsidRPr="00CF0C7D">
        <w:rPr>
          <w:lang w:eastAsia="en-US"/>
        </w:rPr>
        <w:fldChar w:fldCharType="begin"/>
      </w:r>
      <w:r w:rsidRPr="00CF0C7D">
        <w:rPr>
          <w:lang w:eastAsia="en-US"/>
        </w:rPr>
        <w:instrText xml:space="preserve"> TOC \o "1-2" \h \z \u </w:instrText>
      </w:r>
      <w:r w:rsidRPr="00CF0C7D">
        <w:rPr>
          <w:lang w:eastAsia="en-US"/>
        </w:rPr>
        <w:fldChar w:fldCharType="separate"/>
      </w:r>
      <w:hyperlink w:anchor="_Toc233210500" w:history="1">
        <w:r w:rsidR="0045247B" w:rsidRPr="00BA0342">
          <w:rPr>
            <w:rStyle w:val="Hyperlink"/>
            <w:noProof/>
          </w:rPr>
          <w:t>Introduction et justification</w:t>
        </w:r>
        <w:r w:rsidR="0045247B">
          <w:rPr>
            <w:noProof/>
            <w:webHidden/>
          </w:rPr>
          <w:tab/>
        </w:r>
        <w:r w:rsidR="0045247B">
          <w:rPr>
            <w:noProof/>
            <w:webHidden/>
          </w:rPr>
          <w:fldChar w:fldCharType="begin"/>
        </w:r>
        <w:r w:rsidR="0045247B">
          <w:rPr>
            <w:noProof/>
            <w:webHidden/>
          </w:rPr>
          <w:instrText xml:space="preserve"> PAGEREF _Toc233210500 \h </w:instrText>
        </w:r>
        <w:r w:rsidR="0045247B">
          <w:rPr>
            <w:noProof/>
            <w:webHidden/>
          </w:rPr>
        </w:r>
        <w:r w:rsidR="0045247B">
          <w:rPr>
            <w:noProof/>
            <w:webHidden/>
          </w:rPr>
          <w:fldChar w:fldCharType="separate"/>
        </w:r>
        <w:r w:rsidR="0045247B">
          <w:rPr>
            <w:noProof/>
            <w:webHidden/>
          </w:rPr>
          <w:t>4</w:t>
        </w:r>
        <w:r w:rsidR="0045247B">
          <w:rPr>
            <w:noProof/>
            <w:webHidden/>
          </w:rPr>
          <w:fldChar w:fldCharType="end"/>
        </w:r>
      </w:hyperlink>
    </w:p>
    <w:p w14:paraId="322DE804" w14:textId="5F779BEA"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1" w:history="1">
        <w:r w:rsidRPr="00BA0342">
          <w:rPr>
            <w:rStyle w:val="Hyperlink"/>
            <w:noProof/>
          </w:rPr>
          <w:t>Objectifs</w:t>
        </w:r>
        <w:r>
          <w:rPr>
            <w:noProof/>
            <w:webHidden/>
          </w:rPr>
          <w:tab/>
        </w:r>
        <w:r>
          <w:rPr>
            <w:noProof/>
            <w:webHidden/>
          </w:rPr>
          <w:fldChar w:fldCharType="begin"/>
        </w:r>
        <w:r>
          <w:rPr>
            <w:noProof/>
            <w:webHidden/>
          </w:rPr>
          <w:instrText xml:space="preserve"> PAGEREF _Toc233210501 \h </w:instrText>
        </w:r>
        <w:r>
          <w:rPr>
            <w:noProof/>
            <w:webHidden/>
          </w:rPr>
        </w:r>
        <w:r>
          <w:rPr>
            <w:noProof/>
            <w:webHidden/>
          </w:rPr>
          <w:fldChar w:fldCharType="separate"/>
        </w:r>
        <w:r>
          <w:rPr>
            <w:noProof/>
            <w:webHidden/>
          </w:rPr>
          <w:t>5</w:t>
        </w:r>
        <w:r>
          <w:rPr>
            <w:noProof/>
            <w:webHidden/>
          </w:rPr>
          <w:fldChar w:fldCharType="end"/>
        </w:r>
      </w:hyperlink>
    </w:p>
    <w:p w14:paraId="262ABC58" w14:textId="00C2BED6" w:rsidR="0045247B" w:rsidRDefault="0045247B">
      <w:pPr>
        <w:pStyle w:val="TOC1"/>
        <w:tabs>
          <w:tab w:val="right" w:leader="dot" w:pos="9475"/>
        </w:tabs>
        <w:rPr>
          <w:rFonts w:asciiTheme="minorHAnsi" w:eastAsiaTheme="minorEastAsia" w:hAnsiTheme="minorHAnsi" w:cstheme="minorBidi"/>
          <w:noProof/>
          <w:color w:val="auto"/>
          <w:sz w:val="24"/>
          <w:lang w:val="en-US" w:eastAsia="en-US"/>
        </w:rPr>
      </w:pPr>
      <w:hyperlink w:anchor="_Toc233210502" w:history="1">
        <w:r w:rsidRPr="00BA0342">
          <w:rPr>
            <w:rStyle w:val="Hyperlink"/>
            <w:noProof/>
          </w:rPr>
          <w:t>Méthodes</w:t>
        </w:r>
        <w:r>
          <w:rPr>
            <w:noProof/>
            <w:webHidden/>
          </w:rPr>
          <w:tab/>
        </w:r>
        <w:r>
          <w:rPr>
            <w:noProof/>
            <w:webHidden/>
          </w:rPr>
          <w:fldChar w:fldCharType="begin"/>
        </w:r>
        <w:r>
          <w:rPr>
            <w:noProof/>
            <w:webHidden/>
          </w:rPr>
          <w:instrText xml:space="preserve"> PAGEREF _Toc233210502 \h </w:instrText>
        </w:r>
        <w:r>
          <w:rPr>
            <w:noProof/>
            <w:webHidden/>
          </w:rPr>
        </w:r>
        <w:r>
          <w:rPr>
            <w:noProof/>
            <w:webHidden/>
          </w:rPr>
          <w:fldChar w:fldCharType="separate"/>
        </w:r>
        <w:r>
          <w:rPr>
            <w:noProof/>
            <w:webHidden/>
          </w:rPr>
          <w:t>5</w:t>
        </w:r>
        <w:r>
          <w:rPr>
            <w:noProof/>
            <w:webHidden/>
          </w:rPr>
          <w:fldChar w:fldCharType="end"/>
        </w:r>
      </w:hyperlink>
    </w:p>
    <w:p w14:paraId="50883C1B" w14:textId="3DAA98B6"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3" w:history="1">
        <w:r w:rsidRPr="00BA0342">
          <w:rPr>
            <w:rStyle w:val="Hyperlink"/>
            <w:noProof/>
            <w:lang w:eastAsia="en-US"/>
          </w:rPr>
          <w:t>Cadre et approche</w:t>
        </w:r>
        <w:r>
          <w:rPr>
            <w:noProof/>
            <w:webHidden/>
          </w:rPr>
          <w:tab/>
        </w:r>
        <w:r>
          <w:rPr>
            <w:noProof/>
            <w:webHidden/>
          </w:rPr>
          <w:fldChar w:fldCharType="begin"/>
        </w:r>
        <w:r>
          <w:rPr>
            <w:noProof/>
            <w:webHidden/>
          </w:rPr>
          <w:instrText xml:space="preserve"> PAGEREF _Toc233210503 \h </w:instrText>
        </w:r>
        <w:r>
          <w:rPr>
            <w:noProof/>
            <w:webHidden/>
          </w:rPr>
        </w:r>
        <w:r>
          <w:rPr>
            <w:noProof/>
            <w:webHidden/>
          </w:rPr>
          <w:fldChar w:fldCharType="separate"/>
        </w:r>
        <w:r>
          <w:rPr>
            <w:noProof/>
            <w:webHidden/>
          </w:rPr>
          <w:t>6</w:t>
        </w:r>
        <w:r>
          <w:rPr>
            <w:noProof/>
            <w:webHidden/>
          </w:rPr>
          <w:fldChar w:fldCharType="end"/>
        </w:r>
      </w:hyperlink>
    </w:p>
    <w:p w14:paraId="1576C43C" w14:textId="322947F2"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4" w:history="1">
        <w:r w:rsidRPr="00BA0342">
          <w:rPr>
            <w:rStyle w:val="Hyperlink"/>
            <w:noProof/>
            <w:lang w:eastAsia="en-US"/>
          </w:rPr>
          <w:t>Participants</w:t>
        </w:r>
        <w:r>
          <w:rPr>
            <w:noProof/>
            <w:webHidden/>
          </w:rPr>
          <w:tab/>
        </w:r>
        <w:r>
          <w:rPr>
            <w:noProof/>
            <w:webHidden/>
          </w:rPr>
          <w:fldChar w:fldCharType="begin"/>
        </w:r>
        <w:r>
          <w:rPr>
            <w:noProof/>
            <w:webHidden/>
          </w:rPr>
          <w:instrText xml:space="preserve"> PAGEREF _Toc233210504 \h </w:instrText>
        </w:r>
        <w:r>
          <w:rPr>
            <w:noProof/>
            <w:webHidden/>
          </w:rPr>
        </w:r>
        <w:r>
          <w:rPr>
            <w:noProof/>
            <w:webHidden/>
          </w:rPr>
          <w:fldChar w:fldCharType="separate"/>
        </w:r>
        <w:r>
          <w:rPr>
            <w:noProof/>
            <w:webHidden/>
          </w:rPr>
          <w:t>6</w:t>
        </w:r>
        <w:r>
          <w:rPr>
            <w:noProof/>
            <w:webHidden/>
          </w:rPr>
          <w:fldChar w:fldCharType="end"/>
        </w:r>
      </w:hyperlink>
    </w:p>
    <w:p w14:paraId="0852DEE8" w14:textId="187404B2"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5" w:history="1">
        <w:r w:rsidRPr="00BA0342">
          <w:rPr>
            <w:rStyle w:val="Hyperlink"/>
            <w:noProof/>
            <w:lang w:eastAsia="en-US"/>
          </w:rPr>
          <w:t>Matériel et processus</w:t>
        </w:r>
        <w:r>
          <w:rPr>
            <w:noProof/>
            <w:webHidden/>
          </w:rPr>
          <w:tab/>
        </w:r>
        <w:r>
          <w:rPr>
            <w:noProof/>
            <w:webHidden/>
          </w:rPr>
          <w:fldChar w:fldCharType="begin"/>
        </w:r>
        <w:r>
          <w:rPr>
            <w:noProof/>
            <w:webHidden/>
          </w:rPr>
          <w:instrText xml:space="preserve"> PAGEREF _Toc233210505 \h </w:instrText>
        </w:r>
        <w:r>
          <w:rPr>
            <w:noProof/>
            <w:webHidden/>
          </w:rPr>
        </w:r>
        <w:r>
          <w:rPr>
            <w:noProof/>
            <w:webHidden/>
          </w:rPr>
          <w:fldChar w:fldCharType="separate"/>
        </w:r>
        <w:r>
          <w:rPr>
            <w:noProof/>
            <w:webHidden/>
          </w:rPr>
          <w:t>7</w:t>
        </w:r>
        <w:r>
          <w:rPr>
            <w:noProof/>
            <w:webHidden/>
          </w:rPr>
          <w:fldChar w:fldCharType="end"/>
        </w:r>
      </w:hyperlink>
    </w:p>
    <w:p w14:paraId="6E3E2B17" w14:textId="2A7C8EC8"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6" w:history="1">
        <w:r w:rsidRPr="00BA0342">
          <w:rPr>
            <w:rStyle w:val="Hyperlink"/>
            <w:noProof/>
            <w:lang w:eastAsia="en-US"/>
          </w:rPr>
          <w:t>Nettoyage et validation des données</w:t>
        </w:r>
        <w:r>
          <w:rPr>
            <w:noProof/>
            <w:webHidden/>
          </w:rPr>
          <w:tab/>
        </w:r>
        <w:r>
          <w:rPr>
            <w:noProof/>
            <w:webHidden/>
          </w:rPr>
          <w:fldChar w:fldCharType="begin"/>
        </w:r>
        <w:r>
          <w:rPr>
            <w:noProof/>
            <w:webHidden/>
          </w:rPr>
          <w:instrText xml:space="preserve"> PAGEREF _Toc233210506 \h </w:instrText>
        </w:r>
        <w:r>
          <w:rPr>
            <w:noProof/>
            <w:webHidden/>
          </w:rPr>
        </w:r>
        <w:r>
          <w:rPr>
            <w:noProof/>
            <w:webHidden/>
          </w:rPr>
          <w:fldChar w:fldCharType="separate"/>
        </w:r>
        <w:r>
          <w:rPr>
            <w:noProof/>
            <w:webHidden/>
          </w:rPr>
          <w:t>8</w:t>
        </w:r>
        <w:r>
          <w:rPr>
            <w:noProof/>
            <w:webHidden/>
          </w:rPr>
          <w:fldChar w:fldCharType="end"/>
        </w:r>
      </w:hyperlink>
    </w:p>
    <w:p w14:paraId="62081620" w14:textId="1468053F" w:rsidR="0045247B" w:rsidRDefault="0045247B">
      <w:pPr>
        <w:pStyle w:val="TOC1"/>
        <w:tabs>
          <w:tab w:val="right" w:leader="dot" w:pos="9475"/>
        </w:tabs>
        <w:rPr>
          <w:rFonts w:asciiTheme="minorHAnsi" w:eastAsiaTheme="minorEastAsia" w:hAnsiTheme="minorHAnsi" w:cstheme="minorBidi"/>
          <w:noProof/>
          <w:color w:val="auto"/>
          <w:sz w:val="24"/>
          <w:lang w:val="en-US" w:eastAsia="en-US"/>
        </w:rPr>
      </w:pPr>
      <w:hyperlink w:anchor="_Toc233210507" w:history="1">
        <w:r w:rsidRPr="00BA0342">
          <w:rPr>
            <w:rStyle w:val="Hyperlink"/>
            <w:noProof/>
          </w:rPr>
          <w:t>Résultats</w:t>
        </w:r>
        <w:r>
          <w:rPr>
            <w:noProof/>
            <w:webHidden/>
          </w:rPr>
          <w:tab/>
        </w:r>
        <w:r>
          <w:rPr>
            <w:noProof/>
            <w:webHidden/>
          </w:rPr>
          <w:fldChar w:fldCharType="begin"/>
        </w:r>
        <w:r>
          <w:rPr>
            <w:noProof/>
            <w:webHidden/>
          </w:rPr>
          <w:instrText xml:space="preserve"> PAGEREF _Toc233210507 \h </w:instrText>
        </w:r>
        <w:r>
          <w:rPr>
            <w:noProof/>
            <w:webHidden/>
          </w:rPr>
        </w:r>
        <w:r>
          <w:rPr>
            <w:noProof/>
            <w:webHidden/>
          </w:rPr>
          <w:fldChar w:fldCharType="separate"/>
        </w:r>
        <w:r>
          <w:rPr>
            <w:noProof/>
            <w:webHidden/>
          </w:rPr>
          <w:t>9</w:t>
        </w:r>
        <w:r>
          <w:rPr>
            <w:noProof/>
            <w:webHidden/>
          </w:rPr>
          <w:fldChar w:fldCharType="end"/>
        </w:r>
      </w:hyperlink>
    </w:p>
    <w:p w14:paraId="6B45C4BB" w14:textId="4A47A686"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8" w:history="1">
        <w:r w:rsidRPr="00BA0342">
          <w:rPr>
            <w:rStyle w:val="Hyperlink"/>
            <w:noProof/>
            <w:lang w:eastAsia="en-US"/>
          </w:rPr>
          <w:t>Caractéristiques des participants à l’enquête</w:t>
        </w:r>
        <w:r>
          <w:rPr>
            <w:noProof/>
            <w:webHidden/>
          </w:rPr>
          <w:tab/>
        </w:r>
        <w:r>
          <w:rPr>
            <w:noProof/>
            <w:webHidden/>
          </w:rPr>
          <w:fldChar w:fldCharType="begin"/>
        </w:r>
        <w:r>
          <w:rPr>
            <w:noProof/>
            <w:webHidden/>
          </w:rPr>
          <w:instrText xml:space="preserve"> PAGEREF _Toc233210508 \h </w:instrText>
        </w:r>
        <w:r>
          <w:rPr>
            <w:noProof/>
            <w:webHidden/>
          </w:rPr>
        </w:r>
        <w:r>
          <w:rPr>
            <w:noProof/>
            <w:webHidden/>
          </w:rPr>
          <w:fldChar w:fldCharType="separate"/>
        </w:r>
        <w:r>
          <w:rPr>
            <w:noProof/>
            <w:webHidden/>
          </w:rPr>
          <w:t>9</w:t>
        </w:r>
        <w:r>
          <w:rPr>
            <w:noProof/>
            <w:webHidden/>
          </w:rPr>
          <w:fldChar w:fldCharType="end"/>
        </w:r>
      </w:hyperlink>
    </w:p>
    <w:p w14:paraId="6E99247B" w14:textId="6A0419F4"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09" w:history="1">
        <w:r w:rsidRPr="00BA0342">
          <w:rPr>
            <w:rStyle w:val="Hyperlink"/>
            <w:noProof/>
          </w:rPr>
          <w:t>Processus d’analyse des données des groupes de discussion</w:t>
        </w:r>
        <w:r>
          <w:rPr>
            <w:noProof/>
            <w:webHidden/>
          </w:rPr>
          <w:tab/>
        </w:r>
        <w:r>
          <w:rPr>
            <w:noProof/>
            <w:webHidden/>
          </w:rPr>
          <w:fldChar w:fldCharType="begin"/>
        </w:r>
        <w:r>
          <w:rPr>
            <w:noProof/>
            <w:webHidden/>
          </w:rPr>
          <w:instrText xml:space="preserve"> PAGEREF _Toc233210509 \h </w:instrText>
        </w:r>
        <w:r>
          <w:rPr>
            <w:noProof/>
            <w:webHidden/>
          </w:rPr>
        </w:r>
        <w:r>
          <w:rPr>
            <w:noProof/>
            <w:webHidden/>
          </w:rPr>
          <w:fldChar w:fldCharType="separate"/>
        </w:r>
        <w:r>
          <w:rPr>
            <w:noProof/>
            <w:webHidden/>
          </w:rPr>
          <w:t>12</w:t>
        </w:r>
        <w:r>
          <w:rPr>
            <w:noProof/>
            <w:webHidden/>
          </w:rPr>
          <w:fldChar w:fldCharType="end"/>
        </w:r>
      </w:hyperlink>
    </w:p>
    <w:p w14:paraId="041967EA" w14:textId="3FDF7C4D"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0" w:history="1">
        <w:r w:rsidRPr="00BA0342">
          <w:rPr>
            <w:rStyle w:val="Hyperlink"/>
            <w:noProof/>
            <w:lang w:eastAsia="en-US"/>
          </w:rPr>
          <w:t>Caractéristiques des participants aux groupes de discussion</w:t>
        </w:r>
        <w:r>
          <w:rPr>
            <w:noProof/>
            <w:webHidden/>
          </w:rPr>
          <w:tab/>
        </w:r>
        <w:r>
          <w:rPr>
            <w:noProof/>
            <w:webHidden/>
          </w:rPr>
          <w:fldChar w:fldCharType="begin"/>
        </w:r>
        <w:r>
          <w:rPr>
            <w:noProof/>
            <w:webHidden/>
          </w:rPr>
          <w:instrText xml:space="preserve"> PAGEREF _Toc233210510 \h </w:instrText>
        </w:r>
        <w:r>
          <w:rPr>
            <w:noProof/>
            <w:webHidden/>
          </w:rPr>
        </w:r>
        <w:r>
          <w:rPr>
            <w:noProof/>
            <w:webHidden/>
          </w:rPr>
          <w:fldChar w:fldCharType="separate"/>
        </w:r>
        <w:r>
          <w:rPr>
            <w:noProof/>
            <w:webHidden/>
          </w:rPr>
          <w:t>13</w:t>
        </w:r>
        <w:r>
          <w:rPr>
            <w:noProof/>
            <w:webHidden/>
          </w:rPr>
          <w:fldChar w:fldCharType="end"/>
        </w:r>
      </w:hyperlink>
    </w:p>
    <w:p w14:paraId="5DB43EC4" w14:textId="38236E3D"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1" w:history="1">
        <w:r w:rsidRPr="00BA0342">
          <w:rPr>
            <w:rStyle w:val="Hyperlink"/>
            <w:noProof/>
          </w:rPr>
          <w:t>Attentes et résultats en matière d’emploi</w:t>
        </w:r>
        <w:r>
          <w:rPr>
            <w:noProof/>
            <w:webHidden/>
          </w:rPr>
          <w:tab/>
        </w:r>
        <w:r>
          <w:rPr>
            <w:noProof/>
            <w:webHidden/>
          </w:rPr>
          <w:fldChar w:fldCharType="begin"/>
        </w:r>
        <w:r>
          <w:rPr>
            <w:noProof/>
            <w:webHidden/>
          </w:rPr>
          <w:instrText xml:space="preserve"> PAGEREF _Toc233210511 \h </w:instrText>
        </w:r>
        <w:r>
          <w:rPr>
            <w:noProof/>
            <w:webHidden/>
          </w:rPr>
        </w:r>
        <w:r>
          <w:rPr>
            <w:noProof/>
            <w:webHidden/>
          </w:rPr>
          <w:fldChar w:fldCharType="separate"/>
        </w:r>
        <w:r>
          <w:rPr>
            <w:noProof/>
            <w:webHidden/>
          </w:rPr>
          <w:t>14</w:t>
        </w:r>
        <w:r>
          <w:rPr>
            <w:noProof/>
            <w:webHidden/>
          </w:rPr>
          <w:fldChar w:fldCharType="end"/>
        </w:r>
      </w:hyperlink>
    </w:p>
    <w:p w14:paraId="66D8DF56" w14:textId="0346FB5E"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2" w:history="1">
        <w:r w:rsidRPr="00BA0342">
          <w:rPr>
            <w:rStyle w:val="Hyperlink"/>
            <w:noProof/>
          </w:rPr>
          <w:t>Qualité de l’emploi et satisfaction</w:t>
        </w:r>
        <w:r>
          <w:rPr>
            <w:noProof/>
            <w:webHidden/>
          </w:rPr>
          <w:tab/>
        </w:r>
        <w:r>
          <w:rPr>
            <w:noProof/>
            <w:webHidden/>
          </w:rPr>
          <w:fldChar w:fldCharType="begin"/>
        </w:r>
        <w:r>
          <w:rPr>
            <w:noProof/>
            <w:webHidden/>
          </w:rPr>
          <w:instrText xml:space="preserve"> PAGEREF _Toc233210512 \h </w:instrText>
        </w:r>
        <w:r>
          <w:rPr>
            <w:noProof/>
            <w:webHidden/>
          </w:rPr>
        </w:r>
        <w:r>
          <w:rPr>
            <w:noProof/>
            <w:webHidden/>
          </w:rPr>
          <w:fldChar w:fldCharType="separate"/>
        </w:r>
        <w:r>
          <w:rPr>
            <w:noProof/>
            <w:webHidden/>
          </w:rPr>
          <w:t>20</w:t>
        </w:r>
        <w:r>
          <w:rPr>
            <w:noProof/>
            <w:webHidden/>
          </w:rPr>
          <w:fldChar w:fldCharType="end"/>
        </w:r>
      </w:hyperlink>
    </w:p>
    <w:p w14:paraId="28FCC2EE" w14:textId="2B1C36AF"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3" w:history="1">
        <w:r w:rsidRPr="00BA0342">
          <w:rPr>
            <w:rStyle w:val="Hyperlink"/>
            <w:noProof/>
          </w:rPr>
          <w:t>Obstacles (et facteurs favorables) à l’emploi</w:t>
        </w:r>
        <w:r>
          <w:rPr>
            <w:noProof/>
            <w:webHidden/>
          </w:rPr>
          <w:tab/>
        </w:r>
        <w:r>
          <w:rPr>
            <w:noProof/>
            <w:webHidden/>
          </w:rPr>
          <w:fldChar w:fldCharType="begin"/>
        </w:r>
        <w:r>
          <w:rPr>
            <w:noProof/>
            <w:webHidden/>
          </w:rPr>
          <w:instrText xml:space="preserve"> PAGEREF _Toc233210513 \h </w:instrText>
        </w:r>
        <w:r>
          <w:rPr>
            <w:noProof/>
            <w:webHidden/>
          </w:rPr>
        </w:r>
        <w:r>
          <w:rPr>
            <w:noProof/>
            <w:webHidden/>
          </w:rPr>
          <w:fldChar w:fldCharType="separate"/>
        </w:r>
        <w:r>
          <w:rPr>
            <w:noProof/>
            <w:webHidden/>
          </w:rPr>
          <w:t>21</w:t>
        </w:r>
        <w:r>
          <w:rPr>
            <w:noProof/>
            <w:webHidden/>
          </w:rPr>
          <w:fldChar w:fldCharType="end"/>
        </w:r>
      </w:hyperlink>
    </w:p>
    <w:p w14:paraId="03CEF264" w14:textId="37F4D16B"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4" w:history="1">
        <w:r w:rsidRPr="00BA0342">
          <w:rPr>
            <w:rStyle w:val="Hyperlink"/>
            <w:noProof/>
          </w:rPr>
          <w:t>Utilité des ressources académiques</w:t>
        </w:r>
        <w:r>
          <w:rPr>
            <w:noProof/>
            <w:webHidden/>
          </w:rPr>
          <w:tab/>
        </w:r>
        <w:r>
          <w:rPr>
            <w:noProof/>
            <w:webHidden/>
          </w:rPr>
          <w:fldChar w:fldCharType="begin"/>
        </w:r>
        <w:r>
          <w:rPr>
            <w:noProof/>
            <w:webHidden/>
          </w:rPr>
          <w:instrText xml:space="preserve"> PAGEREF _Toc233210514 \h </w:instrText>
        </w:r>
        <w:r>
          <w:rPr>
            <w:noProof/>
            <w:webHidden/>
          </w:rPr>
        </w:r>
        <w:r>
          <w:rPr>
            <w:noProof/>
            <w:webHidden/>
          </w:rPr>
          <w:fldChar w:fldCharType="separate"/>
        </w:r>
        <w:r>
          <w:rPr>
            <w:noProof/>
            <w:webHidden/>
          </w:rPr>
          <w:t>26</w:t>
        </w:r>
        <w:r>
          <w:rPr>
            <w:noProof/>
            <w:webHidden/>
          </w:rPr>
          <w:fldChar w:fldCharType="end"/>
        </w:r>
      </w:hyperlink>
    </w:p>
    <w:p w14:paraId="35359635" w14:textId="5B0D86E8"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5" w:history="1">
        <w:r w:rsidRPr="00BA0342">
          <w:rPr>
            <w:rStyle w:val="Hyperlink"/>
            <w:noProof/>
          </w:rPr>
          <w:t>Ressources et services recommandés</w:t>
        </w:r>
        <w:r>
          <w:rPr>
            <w:noProof/>
            <w:webHidden/>
          </w:rPr>
          <w:tab/>
        </w:r>
        <w:r>
          <w:rPr>
            <w:noProof/>
            <w:webHidden/>
          </w:rPr>
          <w:fldChar w:fldCharType="begin"/>
        </w:r>
        <w:r>
          <w:rPr>
            <w:noProof/>
            <w:webHidden/>
          </w:rPr>
          <w:instrText xml:space="preserve"> PAGEREF _Toc233210515 \h </w:instrText>
        </w:r>
        <w:r>
          <w:rPr>
            <w:noProof/>
            <w:webHidden/>
          </w:rPr>
        </w:r>
        <w:r>
          <w:rPr>
            <w:noProof/>
            <w:webHidden/>
          </w:rPr>
          <w:fldChar w:fldCharType="separate"/>
        </w:r>
        <w:r>
          <w:rPr>
            <w:noProof/>
            <w:webHidden/>
          </w:rPr>
          <w:t>29</w:t>
        </w:r>
        <w:r>
          <w:rPr>
            <w:noProof/>
            <w:webHidden/>
          </w:rPr>
          <w:fldChar w:fldCharType="end"/>
        </w:r>
      </w:hyperlink>
    </w:p>
    <w:p w14:paraId="63D04BB7" w14:textId="04C4E03E" w:rsidR="0045247B" w:rsidRDefault="0045247B">
      <w:pPr>
        <w:pStyle w:val="TOC1"/>
        <w:tabs>
          <w:tab w:val="right" w:leader="dot" w:pos="9475"/>
        </w:tabs>
        <w:rPr>
          <w:rFonts w:asciiTheme="minorHAnsi" w:eastAsiaTheme="minorEastAsia" w:hAnsiTheme="minorHAnsi" w:cstheme="minorBidi"/>
          <w:noProof/>
          <w:color w:val="auto"/>
          <w:sz w:val="24"/>
          <w:lang w:val="en-US" w:eastAsia="en-US"/>
        </w:rPr>
      </w:pPr>
      <w:hyperlink w:anchor="_Toc233210516" w:history="1">
        <w:r w:rsidRPr="00BA0342">
          <w:rPr>
            <w:rStyle w:val="Hyperlink"/>
            <w:noProof/>
          </w:rPr>
          <w:t>Discussion</w:t>
        </w:r>
        <w:r>
          <w:rPr>
            <w:noProof/>
            <w:webHidden/>
          </w:rPr>
          <w:tab/>
        </w:r>
        <w:r>
          <w:rPr>
            <w:noProof/>
            <w:webHidden/>
          </w:rPr>
          <w:fldChar w:fldCharType="begin"/>
        </w:r>
        <w:r>
          <w:rPr>
            <w:noProof/>
            <w:webHidden/>
          </w:rPr>
          <w:instrText xml:space="preserve"> PAGEREF _Toc233210516 \h </w:instrText>
        </w:r>
        <w:r>
          <w:rPr>
            <w:noProof/>
            <w:webHidden/>
          </w:rPr>
        </w:r>
        <w:r>
          <w:rPr>
            <w:noProof/>
            <w:webHidden/>
          </w:rPr>
          <w:fldChar w:fldCharType="separate"/>
        </w:r>
        <w:r>
          <w:rPr>
            <w:noProof/>
            <w:webHidden/>
          </w:rPr>
          <w:t>31</w:t>
        </w:r>
        <w:r>
          <w:rPr>
            <w:noProof/>
            <w:webHidden/>
          </w:rPr>
          <w:fldChar w:fldCharType="end"/>
        </w:r>
      </w:hyperlink>
    </w:p>
    <w:p w14:paraId="48F58ADD" w14:textId="6CFFBFB0"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7" w:history="1">
        <w:r w:rsidRPr="00BA0342">
          <w:rPr>
            <w:rStyle w:val="Hyperlink"/>
            <w:noProof/>
            <w:lang w:eastAsia="en-US"/>
          </w:rPr>
          <w:t>Attentes et réalités des nouveaux diplômés qui entrent sur le marché du travail</w:t>
        </w:r>
        <w:r>
          <w:rPr>
            <w:noProof/>
            <w:webHidden/>
          </w:rPr>
          <w:tab/>
        </w:r>
        <w:r>
          <w:rPr>
            <w:noProof/>
            <w:webHidden/>
          </w:rPr>
          <w:fldChar w:fldCharType="begin"/>
        </w:r>
        <w:r>
          <w:rPr>
            <w:noProof/>
            <w:webHidden/>
          </w:rPr>
          <w:instrText xml:space="preserve"> PAGEREF _Toc233210517 \h </w:instrText>
        </w:r>
        <w:r>
          <w:rPr>
            <w:noProof/>
            <w:webHidden/>
          </w:rPr>
        </w:r>
        <w:r>
          <w:rPr>
            <w:noProof/>
            <w:webHidden/>
          </w:rPr>
          <w:fldChar w:fldCharType="separate"/>
        </w:r>
        <w:r>
          <w:rPr>
            <w:noProof/>
            <w:webHidden/>
          </w:rPr>
          <w:t>31</w:t>
        </w:r>
        <w:r>
          <w:rPr>
            <w:noProof/>
            <w:webHidden/>
          </w:rPr>
          <w:fldChar w:fldCharType="end"/>
        </w:r>
      </w:hyperlink>
    </w:p>
    <w:p w14:paraId="0EDD22E5" w14:textId="346AA51B"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8" w:history="1">
        <w:r w:rsidRPr="00BA0342">
          <w:rPr>
            <w:rStyle w:val="Hyperlink"/>
            <w:noProof/>
            <w:lang w:eastAsia="en-US"/>
          </w:rPr>
          <w:t>Les plus grands écarts dans la transition de l’enseignement postsecondaire au marché du travail (et stratégies de changement)</w:t>
        </w:r>
        <w:r>
          <w:rPr>
            <w:noProof/>
            <w:webHidden/>
          </w:rPr>
          <w:tab/>
        </w:r>
        <w:r>
          <w:rPr>
            <w:noProof/>
            <w:webHidden/>
          </w:rPr>
          <w:fldChar w:fldCharType="begin"/>
        </w:r>
        <w:r>
          <w:rPr>
            <w:noProof/>
            <w:webHidden/>
          </w:rPr>
          <w:instrText xml:space="preserve"> PAGEREF _Toc233210518 \h </w:instrText>
        </w:r>
        <w:r>
          <w:rPr>
            <w:noProof/>
            <w:webHidden/>
          </w:rPr>
        </w:r>
        <w:r>
          <w:rPr>
            <w:noProof/>
            <w:webHidden/>
          </w:rPr>
          <w:fldChar w:fldCharType="separate"/>
        </w:r>
        <w:r>
          <w:rPr>
            <w:noProof/>
            <w:webHidden/>
          </w:rPr>
          <w:t>32</w:t>
        </w:r>
        <w:r>
          <w:rPr>
            <w:noProof/>
            <w:webHidden/>
          </w:rPr>
          <w:fldChar w:fldCharType="end"/>
        </w:r>
      </w:hyperlink>
    </w:p>
    <w:p w14:paraId="5490602A" w14:textId="6DFC30B2"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19" w:history="1">
        <w:r w:rsidRPr="00BA0342">
          <w:rPr>
            <w:rStyle w:val="Hyperlink"/>
            <w:noProof/>
            <w:lang w:eastAsia="en-US"/>
          </w:rPr>
          <w:t>Limites et orientations futures</w:t>
        </w:r>
        <w:r>
          <w:rPr>
            <w:noProof/>
            <w:webHidden/>
          </w:rPr>
          <w:tab/>
        </w:r>
        <w:r>
          <w:rPr>
            <w:noProof/>
            <w:webHidden/>
          </w:rPr>
          <w:fldChar w:fldCharType="begin"/>
        </w:r>
        <w:r>
          <w:rPr>
            <w:noProof/>
            <w:webHidden/>
          </w:rPr>
          <w:instrText xml:space="preserve"> PAGEREF _Toc233210519 \h </w:instrText>
        </w:r>
        <w:r>
          <w:rPr>
            <w:noProof/>
            <w:webHidden/>
          </w:rPr>
        </w:r>
        <w:r>
          <w:rPr>
            <w:noProof/>
            <w:webHidden/>
          </w:rPr>
          <w:fldChar w:fldCharType="separate"/>
        </w:r>
        <w:r>
          <w:rPr>
            <w:noProof/>
            <w:webHidden/>
          </w:rPr>
          <w:t>33</w:t>
        </w:r>
        <w:r>
          <w:rPr>
            <w:noProof/>
            <w:webHidden/>
          </w:rPr>
          <w:fldChar w:fldCharType="end"/>
        </w:r>
      </w:hyperlink>
    </w:p>
    <w:p w14:paraId="41C61535" w14:textId="31C8B97D"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20" w:history="1">
        <w:r w:rsidRPr="00BA0342">
          <w:rPr>
            <w:rStyle w:val="Hyperlink"/>
            <w:rFonts w:cs="Calibri"/>
            <w:noProof/>
            <w:lang w:eastAsia="en-US"/>
          </w:rPr>
          <w:t>Annexe 1 : Note d’orientation</w:t>
        </w:r>
        <w:r>
          <w:rPr>
            <w:noProof/>
            <w:webHidden/>
          </w:rPr>
          <w:tab/>
        </w:r>
        <w:r>
          <w:rPr>
            <w:noProof/>
            <w:webHidden/>
          </w:rPr>
          <w:fldChar w:fldCharType="begin"/>
        </w:r>
        <w:r>
          <w:rPr>
            <w:noProof/>
            <w:webHidden/>
          </w:rPr>
          <w:instrText xml:space="preserve"> PAGEREF _Toc233210520 \h </w:instrText>
        </w:r>
        <w:r>
          <w:rPr>
            <w:noProof/>
            <w:webHidden/>
          </w:rPr>
        </w:r>
        <w:r>
          <w:rPr>
            <w:noProof/>
            <w:webHidden/>
          </w:rPr>
          <w:fldChar w:fldCharType="separate"/>
        </w:r>
        <w:r>
          <w:rPr>
            <w:noProof/>
            <w:webHidden/>
          </w:rPr>
          <w:t>36</w:t>
        </w:r>
        <w:r>
          <w:rPr>
            <w:noProof/>
            <w:webHidden/>
          </w:rPr>
          <w:fldChar w:fldCharType="end"/>
        </w:r>
      </w:hyperlink>
    </w:p>
    <w:p w14:paraId="672865F2" w14:textId="737A0F51" w:rsidR="0045247B" w:rsidRDefault="0045247B">
      <w:pPr>
        <w:pStyle w:val="TOC2"/>
        <w:tabs>
          <w:tab w:val="right" w:leader="dot" w:pos="9475"/>
        </w:tabs>
        <w:rPr>
          <w:rFonts w:asciiTheme="minorHAnsi" w:eastAsiaTheme="minorEastAsia" w:hAnsiTheme="minorHAnsi" w:cstheme="minorBidi"/>
          <w:noProof/>
          <w:color w:val="auto"/>
          <w:sz w:val="24"/>
          <w:lang w:val="en-US" w:eastAsia="en-US"/>
        </w:rPr>
      </w:pPr>
      <w:hyperlink w:anchor="_Toc233210521" w:history="1">
        <w:r w:rsidRPr="00BA0342">
          <w:rPr>
            <w:rStyle w:val="Hyperlink"/>
            <w:noProof/>
          </w:rPr>
          <w:t>Soutenir les diplômés de l’enseignement postsecondaire en situation de handicap dans leur intégration au marché du travail</w:t>
        </w:r>
        <w:r>
          <w:rPr>
            <w:noProof/>
            <w:webHidden/>
          </w:rPr>
          <w:tab/>
        </w:r>
        <w:r>
          <w:rPr>
            <w:noProof/>
            <w:webHidden/>
          </w:rPr>
          <w:fldChar w:fldCharType="begin"/>
        </w:r>
        <w:r>
          <w:rPr>
            <w:noProof/>
            <w:webHidden/>
          </w:rPr>
          <w:instrText xml:space="preserve"> PAGEREF _Toc233210521 \h </w:instrText>
        </w:r>
        <w:r>
          <w:rPr>
            <w:noProof/>
            <w:webHidden/>
          </w:rPr>
        </w:r>
        <w:r>
          <w:rPr>
            <w:noProof/>
            <w:webHidden/>
          </w:rPr>
          <w:fldChar w:fldCharType="separate"/>
        </w:r>
        <w:r>
          <w:rPr>
            <w:noProof/>
            <w:webHidden/>
          </w:rPr>
          <w:t>36</w:t>
        </w:r>
        <w:r>
          <w:rPr>
            <w:noProof/>
            <w:webHidden/>
          </w:rPr>
          <w:fldChar w:fldCharType="end"/>
        </w:r>
      </w:hyperlink>
    </w:p>
    <w:p w14:paraId="13DBF100" w14:textId="25508808" w:rsidR="0045247B" w:rsidRDefault="0045247B">
      <w:pPr>
        <w:pStyle w:val="TOC1"/>
        <w:tabs>
          <w:tab w:val="right" w:leader="dot" w:pos="9475"/>
        </w:tabs>
        <w:rPr>
          <w:rFonts w:asciiTheme="minorHAnsi" w:eastAsiaTheme="minorEastAsia" w:hAnsiTheme="minorHAnsi" w:cstheme="minorBidi"/>
          <w:noProof/>
          <w:color w:val="auto"/>
          <w:sz w:val="24"/>
          <w:lang w:val="en-US" w:eastAsia="en-US"/>
        </w:rPr>
      </w:pPr>
      <w:hyperlink w:anchor="_Toc233210522" w:history="1">
        <w:r w:rsidRPr="00BA0342">
          <w:rPr>
            <w:rStyle w:val="Hyperlink"/>
            <w:noProof/>
          </w:rPr>
          <w:t>Références</w:t>
        </w:r>
        <w:r>
          <w:rPr>
            <w:noProof/>
            <w:webHidden/>
          </w:rPr>
          <w:tab/>
        </w:r>
        <w:r>
          <w:rPr>
            <w:noProof/>
            <w:webHidden/>
          </w:rPr>
          <w:fldChar w:fldCharType="begin"/>
        </w:r>
        <w:r>
          <w:rPr>
            <w:noProof/>
            <w:webHidden/>
          </w:rPr>
          <w:instrText xml:space="preserve"> PAGEREF _Toc233210522 \h </w:instrText>
        </w:r>
        <w:r>
          <w:rPr>
            <w:noProof/>
            <w:webHidden/>
          </w:rPr>
        </w:r>
        <w:r>
          <w:rPr>
            <w:noProof/>
            <w:webHidden/>
          </w:rPr>
          <w:fldChar w:fldCharType="separate"/>
        </w:r>
        <w:r>
          <w:rPr>
            <w:noProof/>
            <w:webHidden/>
          </w:rPr>
          <w:t>41</w:t>
        </w:r>
        <w:r>
          <w:rPr>
            <w:noProof/>
            <w:webHidden/>
          </w:rPr>
          <w:fldChar w:fldCharType="end"/>
        </w:r>
      </w:hyperlink>
    </w:p>
    <w:p w14:paraId="2AEF9EEC" w14:textId="77B938AE" w:rsidR="000C7621" w:rsidRPr="00CF0C7D" w:rsidRDefault="000C7621" w:rsidP="000C7621">
      <w:pPr>
        <w:rPr>
          <w:lang w:eastAsia="en-US"/>
        </w:rPr>
      </w:pPr>
      <w:r w:rsidRPr="00CF0C7D">
        <w:rPr>
          <w:lang w:eastAsia="en-US"/>
        </w:rPr>
        <w:fldChar w:fldCharType="end"/>
      </w:r>
    </w:p>
    <w:p w14:paraId="34D494EF" w14:textId="5A625CD4" w:rsidR="000C7621" w:rsidRPr="00CF0C7D" w:rsidRDefault="000C7621">
      <w:pPr>
        <w:spacing w:after="0" w:line="240" w:lineRule="auto"/>
        <w:rPr>
          <w:lang w:eastAsia="en-US"/>
        </w:rPr>
      </w:pPr>
      <w:r w:rsidRPr="00CF0C7D">
        <w:rPr>
          <w:lang w:eastAsia="en-US"/>
        </w:rPr>
        <w:br w:type="page"/>
      </w:r>
    </w:p>
    <w:p w14:paraId="7AC5EE33" w14:textId="77777777" w:rsidR="00431538" w:rsidRPr="00CF0C7D" w:rsidRDefault="00431538" w:rsidP="000C7AEF">
      <w:pPr>
        <w:pStyle w:val="Heading1"/>
        <w:rPr>
          <w:lang w:val="fr-CA"/>
        </w:rPr>
      </w:pPr>
      <w:bookmarkStart w:id="0" w:name="_Toc233210500"/>
      <w:r w:rsidRPr="00CF0C7D">
        <w:rPr>
          <w:lang w:val="fr-CA"/>
        </w:rPr>
        <w:lastRenderedPageBreak/>
        <w:t>Introduction et justification</w:t>
      </w:r>
      <w:bookmarkEnd w:id="0"/>
    </w:p>
    <w:p w14:paraId="19E8ACB0" w14:textId="48A11980" w:rsidR="00A84913" w:rsidRPr="00CF0C7D" w:rsidRDefault="00431538" w:rsidP="00493780">
      <w:r w:rsidRPr="00CF0C7D">
        <w:t>L’enseignement postsecondaire a toujours été considéré comme une voie sûre vers l’emploi. Cependant, les diplômés de l’enseignement postsecondaire – en particulier les diplômés universitaires – font face à un marché du travail plus incertain que jamais. Entre 2024 et 2025, le nombre d’emplois de premier échelon exigeant un baccalauréat a diminué de plus de la moitié; pour la première fois depuis des décennies, les diplômés universitaires affichent des taux d’emploi inférieurs à ceux des titulaires d’un diplôme collégial ou d’une formation professionnelle.</w:t>
      </w:r>
      <w:bookmarkStart w:id="1" w:name="_Ref224133131"/>
      <w:r w:rsidR="00A84913" w:rsidRPr="00CF0C7D">
        <w:rPr>
          <w:rStyle w:val="EndnoteReference"/>
        </w:rPr>
        <w:endnoteReference w:id="2"/>
      </w:r>
      <w:bookmarkEnd w:id="1"/>
      <w:r w:rsidR="00A84913" w:rsidRPr="00CF0C7D">
        <w:t xml:space="preserve"> </w:t>
      </w:r>
      <w:r w:rsidRPr="00CF0C7D">
        <w:t>Ces défis sont encore plus grands pour les diplômés issus de groupes sous-représentés, notamment les personnes en situation de handicap, qui font face à une stigmatisation persistante, à la discrimination et à des obstacles liés à l’accessibilité, en plus de l’incertitude générale du marché du travail.</w:t>
      </w:r>
    </w:p>
    <w:p w14:paraId="62A74CC8" w14:textId="55E3F5FD" w:rsidR="00961EFC" w:rsidRPr="00CF0C7D" w:rsidRDefault="00431538" w:rsidP="00961EFC">
      <w:bookmarkStart w:id="2" w:name="_Ref224130786"/>
      <w:r w:rsidRPr="00CF0C7D">
        <w:t xml:space="preserve">Les avantages de l’enseignement postsecondaire en matière d’employabilité ne sont pas répartis équitablement. Bien qu’un nombre plus élevé que jamais de </w:t>
      </w:r>
      <w:r w:rsidR="0045247B">
        <w:t>personnes en situation de handicap</w:t>
      </w:r>
      <w:r w:rsidRPr="00CF0C7D">
        <w:t xml:space="preserve"> poursuivent des études postsecondaires, d’importantes inégalités en matière d’emploi persistent.</w:t>
      </w:r>
      <w:bookmarkStart w:id="3" w:name="_Ref225512612"/>
      <w:r w:rsidR="00493780" w:rsidRPr="00CF0C7D">
        <w:rPr>
          <w:rStyle w:val="EndnoteReference"/>
        </w:rPr>
        <w:endnoteReference w:id="3"/>
      </w:r>
      <w:bookmarkEnd w:id="2"/>
      <w:bookmarkEnd w:id="3"/>
      <w:r w:rsidR="00493780" w:rsidRPr="00CF0C7D">
        <w:t xml:space="preserve"> </w:t>
      </w:r>
      <w:r w:rsidRPr="00CF0C7D">
        <w:t xml:space="preserve">Selon le cycle de rapport 2023 de l’Enquête nationale auprès des diplômés (ENG), les diplômés postsecondaires de 2020 </w:t>
      </w:r>
      <w:r w:rsidR="0045247B">
        <w:t>en situation de handicap</w:t>
      </w:r>
      <w:r w:rsidRPr="00CF0C7D">
        <w:t xml:space="preserve"> étaient toujours moins susceptibles d’être employés que leurs pairs sans handicap environ trois ans après l’obtention de leur diplôme (84,1 % contre 88,3 %)</w:t>
      </w:r>
      <w:r w:rsidR="0039668E" w:rsidRPr="00CF0C7D">
        <w:t>.</w:t>
      </w:r>
      <w:bookmarkStart w:id="4" w:name="_Ref227340197"/>
      <w:r w:rsidR="0039668E" w:rsidRPr="00CF0C7D">
        <w:rPr>
          <w:rStyle w:val="EndnoteReference"/>
        </w:rPr>
        <w:endnoteReference w:id="4"/>
      </w:r>
      <w:bookmarkEnd w:id="4"/>
      <w:r w:rsidR="00EA1CE2" w:rsidRPr="00CF0C7D">
        <w:t xml:space="preserve"> </w:t>
      </w:r>
      <w:r w:rsidRPr="00CF0C7D">
        <w:rPr>
          <w:lang w:eastAsia="en-US"/>
        </w:rPr>
        <w:t>Les travailleurs en situation de handicap ayant suivi des études postsecondaires sont également souvent sous-utilisés dans leurs fonctions et sont 15 % plus susceptibles de déclarer qu’ils sont surqualifiés pour le travail qu’ils effectuent.</w:t>
      </w:r>
      <w:r w:rsidR="00E617FC" w:rsidRPr="00CF0C7D">
        <w:rPr>
          <w:lang w:eastAsia="en-US"/>
        </w:rPr>
        <w:fldChar w:fldCharType="begin"/>
      </w:r>
      <w:r w:rsidR="00E617FC" w:rsidRPr="00CF0C7D">
        <w:rPr>
          <w:lang w:eastAsia="en-US"/>
        </w:rPr>
        <w:instrText xml:space="preserve"> NOTEREF _Ref225512612 \f \h </w:instrText>
      </w:r>
      <w:r w:rsidR="00E617FC" w:rsidRPr="00CF0C7D">
        <w:rPr>
          <w:lang w:eastAsia="en-US"/>
        </w:rPr>
      </w:r>
      <w:r w:rsidR="00E617FC" w:rsidRPr="00CF0C7D">
        <w:rPr>
          <w:lang w:eastAsia="en-US"/>
        </w:rPr>
        <w:fldChar w:fldCharType="separate"/>
      </w:r>
      <w:r w:rsidR="007E08D9" w:rsidRPr="00CF0C7D">
        <w:rPr>
          <w:rStyle w:val="EndnoteReference"/>
        </w:rPr>
        <w:t>2</w:t>
      </w:r>
      <w:r w:rsidR="00E617FC" w:rsidRPr="00CF0C7D">
        <w:rPr>
          <w:lang w:eastAsia="en-US"/>
        </w:rPr>
        <w:fldChar w:fldCharType="end"/>
      </w:r>
      <w:r w:rsidR="00E617FC" w:rsidRPr="00CF0C7D">
        <w:t xml:space="preserve"> </w:t>
      </w:r>
      <w:r w:rsidR="00A21298" w:rsidRPr="00CF0C7D">
        <w:t xml:space="preserve">Bien que l’écart d’emploi entre les </w:t>
      </w:r>
      <w:r w:rsidR="00A21298" w:rsidRPr="00CF0C7D">
        <w:rPr>
          <w:lang w:eastAsia="en-US"/>
        </w:rPr>
        <w:t xml:space="preserve">travailleurs en situation de handicap </w:t>
      </w:r>
      <w:r w:rsidR="00A21298" w:rsidRPr="00CF0C7D">
        <w:t>et les travailleurs non handicapés se réduise à mesure que le niveau de scolarité augmente, les résultats varient également considérablement en fonction de la nature du handicap des diplômés; en 2017, parmi les diplômés universitaires confrontés aux obstacles liés au handicap les plus graves, moins d’un tiers occupaient un emploi.</w:t>
      </w:r>
      <w:r w:rsidR="00961EFC" w:rsidRPr="00CF0C7D">
        <w:rPr>
          <w:rStyle w:val="EndnoteReference"/>
          <w:lang w:eastAsia="en-US"/>
        </w:rPr>
        <w:endnoteReference w:id="5"/>
      </w:r>
      <w:r w:rsidR="00081B1F" w:rsidRPr="00CF0C7D">
        <w:rPr>
          <w:lang w:eastAsia="en-US"/>
        </w:rPr>
        <w:t xml:space="preserve"> </w:t>
      </w:r>
      <w:r w:rsidR="00A21298" w:rsidRPr="00CF0C7D">
        <w:rPr>
          <w:lang w:eastAsia="en-US"/>
        </w:rPr>
        <w:t>Il est probable que les résultats en matière d’emploi varient également en fonction de l’intersectionnalité, notamment l’identité de genre, la race et l’origine ethnique, ainsi que le statut socio-économique.</w:t>
      </w:r>
    </w:p>
    <w:p w14:paraId="0E3DC8B3" w14:textId="0CB38810" w:rsidR="00E617FC" w:rsidRPr="00CF0C7D" w:rsidRDefault="00A21298" w:rsidP="00493780">
      <w:bookmarkStart w:id="5" w:name="_Ref225533654"/>
      <w:r w:rsidRPr="00CF0C7D">
        <w:t>En plus d’être une question d’équité et de droits de la personne, les obstacles sur le marché du travail auxquels font face les diplômés de niveau postsecondaire en situation de handicap constituent une préoccupation majeure pour la santé de la main-d’œuvre et de l’économie futures du Canada. Les taux de handicap chez les jeunes adultes sont en hausse, ayant augmenté de sept points de pourcentage entre 2017 et 2022;</w:t>
      </w:r>
      <w:r w:rsidR="00493780" w:rsidRPr="00CF0C7D">
        <w:rPr>
          <w:rStyle w:val="EndnoteReference"/>
        </w:rPr>
        <w:endnoteReference w:id="6"/>
      </w:r>
      <w:bookmarkEnd w:id="5"/>
      <w:r w:rsidR="00493780" w:rsidRPr="00CF0C7D">
        <w:t xml:space="preserve"> </w:t>
      </w:r>
      <w:r w:rsidRPr="00CF0C7D">
        <w:t>parallèlement, de nombreux travailleurs plus âgés quittent le marché du travail, la génération la plus nombreuse, celle des baby-boomers, ayant atteint ou étant sur le point d’atteindre l’âge de la retraite</w:t>
      </w:r>
      <w:r w:rsidR="00A1266C" w:rsidRPr="00CF0C7D">
        <w:t>.</w:t>
      </w:r>
      <w:r w:rsidR="00384333" w:rsidRPr="00CF0C7D">
        <w:rPr>
          <w:rStyle w:val="EndnoteReference"/>
        </w:rPr>
        <w:endnoteReference w:id="7"/>
      </w:r>
      <w:r w:rsidR="00081B1F" w:rsidRPr="00CF0C7D">
        <w:t xml:space="preserve"> </w:t>
      </w:r>
      <w:r w:rsidRPr="00CF0C7D">
        <w:t xml:space="preserve">Combler cet écart en matière d’emploi est une priorité pour les chercheurs d’emploi </w:t>
      </w:r>
      <w:r w:rsidR="0045247B">
        <w:t>en situation de handicap</w:t>
      </w:r>
      <w:r w:rsidRPr="00CF0C7D">
        <w:t xml:space="preserve"> au Canada, pour les employeurs canadiens et pour les travailleurs canadiens en général.</w:t>
      </w:r>
    </w:p>
    <w:p w14:paraId="7989DF2B" w14:textId="2AC738A0" w:rsidR="000C7621" w:rsidRPr="00CF0C7D" w:rsidRDefault="00A21298" w:rsidP="000C7621">
      <w:pPr>
        <w:rPr>
          <w:lang w:eastAsia="en-US"/>
        </w:rPr>
      </w:pPr>
      <w:r w:rsidRPr="00CF0C7D">
        <w:t>Des recherches et des ressources considérables ont été consacrées à la transition du secondaire vers l’enseignement postsecondaire pour les jeunes en situation de handicap, mais elles sont comparativement moins nombreuses pour la transition de l’enseignement postsecondaire vers le marché du travail. Cependant, des données existantes mettent en évidence plusieurs lacunes dans le système de transition de l’enseignement postsecondaire vers le marché du travail. Par exemple, une étude menée par l’Association nationale des étudiants handicapés au Canada (NEADS) a révélé que l’accessibilité des ressources en matière de développement de carrière et d’apprentissage intégré au travail dans les collèges et les universités canadiens est souvent à la traîne par rapport à l’accessibilité des salles de classe, et que les mesures de soutien à la transition vers le marché du travail pour les diplômés en situation de handicap peuvent être insuffisantes, voire inexistantes</w:t>
      </w:r>
      <w:r w:rsidR="00493780" w:rsidRPr="00CF0C7D">
        <w:t>.</w:t>
      </w:r>
      <w:bookmarkStart w:id="6" w:name="_Ref224138573"/>
      <w:r w:rsidR="00493780" w:rsidRPr="00CF0C7D">
        <w:rPr>
          <w:rStyle w:val="EndnoteReference"/>
        </w:rPr>
        <w:endnoteReference w:id="8"/>
      </w:r>
      <w:bookmarkEnd w:id="6"/>
      <w:r w:rsidR="00E617FC" w:rsidRPr="00CF0C7D">
        <w:t xml:space="preserve"> </w:t>
      </w:r>
      <w:r w:rsidRPr="00CF0C7D">
        <w:t xml:space="preserve">En d’autres termes, </w:t>
      </w:r>
      <w:r w:rsidRPr="00CF0C7D">
        <w:lastRenderedPageBreak/>
        <w:t>l’inclusion et l’accessibilité sont souvent « cloisonnées » aux salles de classe, tandis que les programmes de perfectionnement professionnel, d’apprentissage en milieu de travail et de planification de carrière sont mis en œuvre sans tenir suffisamment compte des étudiants en situation de handicap. Cet écart contribue probablement aux disparités en matière d’emploi après l’obtention du diplôme, mais des recherches supplémentaires sont nécessaires pour corroborer cette constatation et en élucider les raisons.</w:t>
      </w:r>
      <w:r w:rsidR="00E617FC" w:rsidRPr="00CF0C7D">
        <w:rPr>
          <w:lang w:eastAsia="en-US"/>
        </w:rPr>
        <w:fldChar w:fldCharType="begin"/>
      </w:r>
      <w:r w:rsidR="00E617FC" w:rsidRPr="00CF0C7D">
        <w:rPr>
          <w:lang w:eastAsia="en-US"/>
        </w:rPr>
        <w:instrText xml:space="preserve"> NOTEREF _Ref224138573 \f \h </w:instrText>
      </w:r>
      <w:r w:rsidR="00E617FC" w:rsidRPr="00CF0C7D">
        <w:rPr>
          <w:lang w:eastAsia="en-US"/>
        </w:rPr>
      </w:r>
      <w:r w:rsidR="00E617FC" w:rsidRPr="00CF0C7D">
        <w:rPr>
          <w:lang w:eastAsia="en-US"/>
        </w:rPr>
        <w:fldChar w:fldCharType="separate"/>
      </w:r>
      <w:r w:rsidR="007E08D9" w:rsidRPr="00CF0C7D">
        <w:rPr>
          <w:rStyle w:val="EndnoteReference"/>
        </w:rPr>
        <w:t>7</w:t>
      </w:r>
      <w:r w:rsidR="00E617FC" w:rsidRPr="00CF0C7D">
        <w:rPr>
          <w:lang w:eastAsia="en-US"/>
        </w:rPr>
        <w:fldChar w:fldCharType="end"/>
      </w:r>
      <w:r w:rsidR="00E617FC" w:rsidRPr="00CF0C7D">
        <w:rPr>
          <w:lang w:eastAsia="en-US"/>
        </w:rPr>
        <w:t xml:space="preserve"> </w:t>
      </w:r>
      <w:r w:rsidRPr="00CF0C7D">
        <w:rPr>
          <w:lang w:eastAsia="en-US"/>
        </w:rPr>
        <w:t xml:space="preserve">Il faut également accorder une attention particulière à l’étude des obstacles intersectionnels auxquels font face les nouveaux diplômés </w:t>
      </w:r>
      <w:r w:rsidR="0045247B">
        <w:rPr>
          <w:lang w:eastAsia="en-US"/>
        </w:rPr>
        <w:t>en situation de handicap</w:t>
      </w:r>
      <w:r w:rsidRPr="00CF0C7D">
        <w:rPr>
          <w:lang w:eastAsia="en-US"/>
        </w:rPr>
        <w:t xml:space="preserve"> qui font partie d’autres communautés sous-représentées.</w:t>
      </w:r>
    </w:p>
    <w:p w14:paraId="3BD66D10" w14:textId="17D3B47C" w:rsidR="007705E6" w:rsidRPr="00CF0C7D" w:rsidRDefault="00431538" w:rsidP="000C7621">
      <w:pPr>
        <w:pStyle w:val="Heading2"/>
      </w:pPr>
      <w:bookmarkStart w:id="7" w:name="_Toc233210501"/>
      <w:r w:rsidRPr="00CF0C7D">
        <w:t>Objectifs</w:t>
      </w:r>
      <w:bookmarkEnd w:id="7"/>
    </w:p>
    <w:p w14:paraId="745F8F37" w14:textId="3E745D8F" w:rsidR="000C7621" w:rsidRPr="00CF0C7D" w:rsidRDefault="00A21298" w:rsidP="00FF1EF4">
      <w:pPr>
        <w:rPr>
          <w:lang w:eastAsia="en-US"/>
        </w:rPr>
      </w:pPr>
      <w:r w:rsidRPr="00CF0C7D">
        <w:rPr>
          <w:lang w:eastAsia="en-US"/>
        </w:rPr>
        <w:t>SURF était une étude longitudinale de trois ans, utilisant des méthodes mixtes, qui visait à examiner les résultats en matière d’emploi es nouveaux diplômés en situation de handicap au Canada, dans le but ultime de mieux comprendre les obstacles auxquels ils sont confrontés et d’identifier les ressources, les services et/ou les politiques susceptibles de les soutenir pendant cette période de transition.</w:t>
      </w:r>
    </w:p>
    <w:p w14:paraId="2797A8F3" w14:textId="5A5D8428" w:rsidR="000C7621" w:rsidRPr="00CF0C7D" w:rsidRDefault="00A21298" w:rsidP="000C7621">
      <w:pPr>
        <w:pStyle w:val="Heading3"/>
        <w:rPr>
          <w:lang w:eastAsia="en-US"/>
        </w:rPr>
      </w:pPr>
      <w:r w:rsidRPr="00CF0C7D">
        <w:rPr>
          <w:lang w:eastAsia="en-US"/>
        </w:rPr>
        <w:t>Questions de recherche</w:t>
      </w:r>
    </w:p>
    <w:p w14:paraId="637D5004" w14:textId="70970333" w:rsidR="00570971" w:rsidRPr="00CF0C7D" w:rsidRDefault="00A21298" w:rsidP="00487CCB">
      <w:pPr>
        <w:rPr>
          <w:lang w:eastAsia="en-US"/>
        </w:rPr>
      </w:pPr>
      <w:r w:rsidRPr="00CF0C7D">
        <w:rPr>
          <w:lang w:eastAsia="en-US"/>
        </w:rPr>
        <w:t>Dans le cadre du projet SURF, nous avons examiné les questions de recherche suivantes :</w:t>
      </w:r>
    </w:p>
    <w:p w14:paraId="2AC6EB5F" w14:textId="092321AB" w:rsidR="00A21298" w:rsidRPr="00CF0C7D" w:rsidRDefault="00A21298">
      <w:pPr>
        <w:pStyle w:val="ListParagraph"/>
        <w:numPr>
          <w:ilvl w:val="0"/>
          <w:numId w:val="8"/>
        </w:numPr>
        <w:rPr>
          <w:lang w:val="fr-CA"/>
        </w:rPr>
      </w:pPr>
      <w:r w:rsidRPr="00CF0C7D">
        <w:rPr>
          <w:lang w:val="fr-CA"/>
        </w:rPr>
        <w:t>Quelles sont les attentes des étudiants en situation de handicap à l’égard de l’obtention de leur diplôme et de leur entrée sur le marché du travail?</w:t>
      </w:r>
    </w:p>
    <w:p w14:paraId="2C406D7C" w14:textId="6D205C74" w:rsidR="00A21298" w:rsidRPr="00CF0C7D" w:rsidRDefault="00A21298">
      <w:pPr>
        <w:pStyle w:val="ListParagraph"/>
        <w:numPr>
          <w:ilvl w:val="0"/>
          <w:numId w:val="9"/>
        </w:numPr>
        <w:rPr>
          <w:lang w:val="fr-CA"/>
        </w:rPr>
      </w:pPr>
      <w:r w:rsidRPr="00CF0C7D">
        <w:rPr>
          <w:lang w:val="fr-CA"/>
        </w:rPr>
        <w:t xml:space="preserve">Comment ces attentes varient-elles (le cas échéant) en fonction de facteurs sociodémographiques croisés (p. ex. le </w:t>
      </w:r>
      <w:r w:rsidR="00DC156C">
        <w:rPr>
          <w:lang w:val="fr-CA"/>
        </w:rPr>
        <w:t>genre</w:t>
      </w:r>
      <w:r w:rsidRPr="00CF0C7D">
        <w:rPr>
          <w:lang w:val="fr-CA"/>
        </w:rPr>
        <w:t xml:space="preserve">, l’âge, l’origine ethnique, </w:t>
      </w:r>
      <w:r w:rsidR="006F2E7D">
        <w:rPr>
          <w:lang w:val="fr-CA"/>
        </w:rPr>
        <w:t>l’</w:t>
      </w:r>
      <w:r w:rsidR="006F2E7D" w:rsidRPr="006F2E7D">
        <w:rPr>
          <w:lang w:val="fr-CA"/>
        </w:rPr>
        <w:t>identité autochtone</w:t>
      </w:r>
      <w:r w:rsidRPr="00CF0C7D">
        <w:rPr>
          <w:lang w:val="fr-CA"/>
        </w:rPr>
        <w:t>, le handicap, le statut socioéconomique, la situation géographique et le type d’études)?</w:t>
      </w:r>
    </w:p>
    <w:p w14:paraId="3EB4FCF2" w14:textId="1F8FE20A" w:rsidR="00A21298" w:rsidRPr="00CF0C7D" w:rsidRDefault="00A21298">
      <w:pPr>
        <w:pStyle w:val="ListParagraph"/>
        <w:numPr>
          <w:ilvl w:val="0"/>
          <w:numId w:val="9"/>
        </w:numPr>
        <w:rPr>
          <w:lang w:val="fr-CA"/>
        </w:rPr>
      </w:pPr>
      <w:r w:rsidRPr="00CF0C7D">
        <w:rPr>
          <w:lang w:val="fr-CA"/>
        </w:rPr>
        <w:t>Leurs attentes concernant leur recherche d’emploi diffèrent-elles de manière significative des résultats réels?</w:t>
      </w:r>
    </w:p>
    <w:p w14:paraId="4058B405" w14:textId="1B7A5404" w:rsidR="00A21298" w:rsidRPr="00CF0C7D" w:rsidRDefault="00A21298">
      <w:pPr>
        <w:pStyle w:val="ListParagraph"/>
        <w:numPr>
          <w:ilvl w:val="0"/>
          <w:numId w:val="8"/>
        </w:numPr>
        <w:rPr>
          <w:lang w:val="fr-CA"/>
        </w:rPr>
      </w:pPr>
      <w:r w:rsidRPr="00CF0C7D">
        <w:rPr>
          <w:lang w:val="fr-CA"/>
        </w:rPr>
        <w:t>Les nouveaux diplômés en situation de handicap sont-ils satisfaits de leur emploi (en termes de conditions de travail, d’adéquation avec leurs compétences et leur formation, ainsi que d’accessibilité et d’inclusivité)?</w:t>
      </w:r>
    </w:p>
    <w:p w14:paraId="25FEF112" w14:textId="14FC0478" w:rsidR="00A21298" w:rsidRPr="00CF0C7D" w:rsidRDefault="00A21298">
      <w:pPr>
        <w:pStyle w:val="ListParagraph"/>
        <w:numPr>
          <w:ilvl w:val="0"/>
          <w:numId w:val="10"/>
        </w:numPr>
        <w:rPr>
          <w:lang w:val="fr-CA"/>
        </w:rPr>
      </w:pPr>
      <w:r w:rsidRPr="00CF0C7D">
        <w:rPr>
          <w:lang w:val="fr-CA"/>
        </w:rPr>
        <w:t>Les résultats en matière d’emploi (notamment la satisfaction, l’adéquation et l’accessibilité) varient-ils en fonction de facteurs sociodémographiques croisés?</w:t>
      </w:r>
    </w:p>
    <w:p w14:paraId="4072FD6E" w14:textId="0ED842F4" w:rsidR="00A21298" w:rsidRPr="00CF0C7D" w:rsidRDefault="00A21298">
      <w:pPr>
        <w:pStyle w:val="ListParagraph"/>
        <w:numPr>
          <w:ilvl w:val="0"/>
          <w:numId w:val="8"/>
        </w:numPr>
        <w:rPr>
          <w:lang w:val="fr-CA"/>
        </w:rPr>
      </w:pPr>
      <w:r w:rsidRPr="00CF0C7D">
        <w:rPr>
          <w:lang w:val="fr-CA"/>
        </w:rPr>
        <w:t>Quels obstacles (le cas échéant) les étudiants en situation de handicap perçoivent-ils à leur entrée sur le marché du travail après avoir terminé leurs études postsecondaires?</w:t>
      </w:r>
    </w:p>
    <w:p w14:paraId="16714027" w14:textId="7C1A59CF" w:rsidR="00A21298" w:rsidRPr="00CF0C7D" w:rsidRDefault="00A21298">
      <w:pPr>
        <w:pStyle w:val="ListParagraph"/>
        <w:numPr>
          <w:ilvl w:val="0"/>
          <w:numId w:val="11"/>
        </w:numPr>
        <w:rPr>
          <w:lang w:val="fr-CA"/>
        </w:rPr>
      </w:pPr>
      <w:r w:rsidRPr="00CF0C7D">
        <w:rPr>
          <w:lang w:val="fr-CA"/>
        </w:rPr>
        <w:t>Ces obstacles varient-ils en fonction de facteurs sociodémographiques croisés?</w:t>
      </w:r>
    </w:p>
    <w:p w14:paraId="11B6CDD2" w14:textId="76A4AD7C" w:rsidR="00A21298" w:rsidRPr="00CF0C7D" w:rsidRDefault="00A21298">
      <w:pPr>
        <w:pStyle w:val="ListParagraph"/>
        <w:numPr>
          <w:ilvl w:val="0"/>
          <w:numId w:val="8"/>
        </w:numPr>
        <w:rPr>
          <w:lang w:val="fr-CA"/>
        </w:rPr>
      </w:pPr>
      <w:r w:rsidRPr="00CF0C7D">
        <w:rPr>
          <w:lang w:val="fr-CA"/>
        </w:rPr>
        <w:t>Les étudiants en situation de handicap estiment-ils que les processus et pratiques d’accessibilité en place dans leurs établissements d’enseignement postsecondaire les ont préparés à entrer sur le marché du travail?</w:t>
      </w:r>
    </w:p>
    <w:p w14:paraId="2D02A6DD" w14:textId="75656820" w:rsidR="00A21298" w:rsidRPr="00CF0C7D" w:rsidRDefault="00A21298">
      <w:pPr>
        <w:pStyle w:val="ListParagraph"/>
        <w:numPr>
          <w:ilvl w:val="0"/>
          <w:numId w:val="8"/>
        </w:numPr>
        <w:rPr>
          <w:lang w:val="fr-CA"/>
        </w:rPr>
      </w:pPr>
      <w:r w:rsidRPr="00CF0C7D">
        <w:rPr>
          <w:lang w:val="fr-CA"/>
        </w:rPr>
        <w:t>Quelles ressources et quels soutiens offerts par les établissements d’enseignement postsecondaire contribuent à une planification de carrière réussie et à une bonne préparation au marché du travail?</w:t>
      </w:r>
    </w:p>
    <w:p w14:paraId="1BCC99E0" w14:textId="5BC21604" w:rsidR="00487CCB" w:rsidRPr="00CF0C7D" w:rsidRDefault="00A21298">
      <w:pPr>
        <w:pStyle w:val="ListParagraph"/>
        <w:numPr>
          <w:ilvl w:val="0"/>
          <w:numId w:val="12"/>
        </w:numPr>
        <w:rPr>
          <w:lang w:val="fr-CA"/>
        </w:rPr>
      </w:pPr>
      <w:r w:rsidRPr="00CF0C7D">
        <w:rPr>
          <w:lang w:val="fr-CA"/>
        </w:rPr>
        <w:t>Quelles nouvelles ressources pourraient être mises en place ou améliorées?</w:t>
      </w:r>
    </w:p>
    <w:p w14:paraId="419A5E84" w14:textId="248FBDE2" w:rsidR="00FF1EF4" w:rsidRPr="00CF0C7D" w:rsidRDefault="00A21298" w:rsidP="007B58ED">
      <w:pPr>
        <w:pStyle w:val="Heading1"/>
        <w:ind w:left="0"/>
        <w:rPr>
          <w:lang w:val="fr-CA"/>
        </w:rPr>
      </w:pPr>
      <w:bookmarkStart w:id="8" w:name="_Toc233210502"/>
      <w:r w:rsidRPr="00CF0C7D">
        <w:rPr>
          <w:lang w:val="fr-CA"/>
        </w:rPr>
        <w:t>Méthodes</w:t>
      </w:r>
      <w:bookmarkEnd w:id="8"/>
    </w:p>
    <w:p w14:paraId="1825C090" w14:textId="758500A8" w:rsidR="00821704" w:rsidRPr="00CF0C7D" w:rsidRDefault="00A21298" w:rsidP="00FE0194">
      <w:pPr>
        <w:rPr>
          <w:lang w:eastAsia="en-US"/>
        </w:rPr>
      </w:pPr>
      <w:r w:rsidRPr="00CF0C7D">
        <w:rPr>
          <w:lang w:eastAsia="en-US"/>
        </w:rPr>
        <w:t xml:space="preserve">Nous avons utilisé une approche exploratoire combinant des méthodes mixtes (quantitative -&gt; qualitative -&gt; quantitative) pour répondre aux questions de recherche. Les participants ont répondu à un premier sondage quantitatif (de référence) et ont été invités à répondre à un deuxième sondage quantitatif environ un an plus tard (suivi). À peu près à mi-parcours de l’étude, des données qualitatives ont été recueillies auprès d’un sous-groupe de participants par le biais de groupes de discussion. Les résultats de l’enquête de référence ont éclairé notre </w:t>
      </w:r>
      <w:r w:rsidRPr="00CF0C7D">
        <w:rPr>
          <w:lang w:eastAsia="en-US"/>
        </w:rPr>
        <w:lastRenderedPageBreak/>
        <w:t>interprétation des conclusions des groupes de discussion ainsi que la conception de l’enquête de suivi.</w:t>
      </w:r>
    </w:p>
    <w:p w14:paraId="4FF1B2BB" w14:textId="0201BF22" w:rsidR="00FE0194" w:rsidRPr="00CF0C7D" w:rsidRDefault="00A21298" w:rsidP="00821704">
      <w:pPr>
        <w:pStyle w:val="Heading2"/>
        <w:rPr>
          <w:lang w:eastAsia="en-US"/>
        </w:rPr>
      </w:pPr>
      <w:bookmarkStart w:id="9" w:name="_Toc233210503"/>
      <w:r w:rsidRPr="00CF0C7D">
        <w:rPr>
          <w:lang w:eastAsia="en-US"/>
        </w:rPr>
        <w:t>Cadre et approche</w:t>
      </w:r>
      <w:bookmarkEnd w:id="9"/>
    </w:p>
    <w:p w14:paraId="5D4501E6" w14:textId="0507747C" w:rsidR="00821704" w:rsidRPr="00CF0C7D" w:rsidRDefault="00A21298" w:rsidP="00821704">
      <w:pPr>
        <w:rPr>
          <w:lang w:eastAsia="en-US"/>
        </w:rPr>
      </w:pPr>
      <w:r w:rsidRPr="00CF0C7D">
        <w:rPr>
          <w:lang w:eastAsia="en-US"/>
        </w:rPr>
        <w:t>Le CCRT et l’équipe de recherche du SURF s’appuient sur le modèle social du handicap, qui considère que le handicap résulte de barrières sociétales, contrairement au modèle médical qui voit le handicap comme une déficience inhérente nécessitant un traitement.</w:t>
      </w:r>
      <w:r w:rsidR="004A1FBC" w:rsidRPr="00CF0C7D">
        <w:rPr>
          <w:vertAlign w:val="superscript"/>
          <w:lang w:eastAsia="en-US"/>
        </w:rPr>
        <w:endnoteReference w:id="9"/>
      </w:r>
      <w:r w:rsidR="004A1FBC" w:rsidRPr="00CF0C7D">
        <w:rPr>
          <w:vertAlign w:val="superscript"/>
          <w:lang w:eastAsia="en-US"/>
        </w:rPr>
        <w:t>,</w:t>
      </w:r>
      <w:r w:rsidR="004A1FBC" w:rsidRPr="00CF0C7D">
        <w:rPr>
          <w:vertAlign w:val="superscript"/>
          <w:lang w:eastAsia="en-US"/>
        </w:rPr>
        <w:endnoteReference w:id="10"/>
      </w:r>
      <w:r w:rsidR="004A1FBC" w:rsidRPr="00CF0C7D">
        <w:rPr>
          <w:lang w:eastAsia="en-US"/>
        </w:rPr>
        <w:t xml:space="preserve"> </w:t>
      </w:r>
      <w:r w:rsidR="003C769D" w:rsidRPr="00CF0C7D">
        <w:rPr>
          <w:lang w:eastAsia="en-US"/>
        </w:rPr>
        <w:t xml:space="preserve">Selon cette vision, ce sont l’absence d’infrastructures, comme des rampes d’accès ou des toilettes accessibles, ou encore les attitudes, les comportements et les perceptions des gens qui rendent les </w:t>
      </w:r>
      <w:r w:rsidR="0045247B">
        <w:rPr>
          <w:lang w:eastAsia="en-US"/>
        </w:rPr>
        <w:t>personnes en situation de handicap</w:t>
      </w:r>
      <w:r w:rsidR="003C769D" w:rsidRPr="00CF0C7D">
        <w:rPr>
          <w:lang w:eastAsia="en-US"/>
        </w:rPr>
        <w:t xml:space="preserve">, et non une déficience en soi. De plus, l’approche de l’équipe de recherche s’appuie sur les principes de la recherche participative axée sur la communauté et sur l’importance de mettre au centre les points de vue des personnes ayant une expérience vécue. Ainsi, des </w:t>
      </w:r>
      <w:r w:rsidR="0045247B">
        <w:rPr>
          <w:lang w:eastAsia="en-US"/>
        </w:rPr>
        <w:t>personnes en situation de handicap</w:t>
      </w:r>
      <w:r w:rsidR="003C769D" w:rsidRPr="00CF0C7D">
        <w:rPr>
          <w:lang w:eastAsia="en-US"/>
        </w:rPr>
        <w:t xml:space="preserve"> ont été impliquées à toutes les étapes du projet de recherche. La co-chercheuse principale, la Dre Vanessa Sinclair, directrice de la recherche et de l’évaluation, est une personne ayant des handicaps multiples; elle a été conjointement responsable de la conception et de l’exécution de toutes les activités de recherche. Le personnel du CCRW, y compris celui de l’équipe de recherche, compte de nombreuses personnes en situation de handicap : environ 58 % des employés de l’organisation s’identifient comme tels, selon le sondage auprès du personnel du CCRW de 2024-2025. De plus, afin de s’assurer que le projet tienne compte de la diversité des points de vue de la communauté, l’équipe de recherche a mis sur pied un comité consultatif communautaire (CCC) pour recueillir des commentaires sur les questions de recherche, les méthodes et les activités de mobilisation des connaissances.</w:t>
      </w:r>
    </w:p>
    <w:p w14:paraId="7EF8451F" w14:textId="1710A090" w:rsidR="004A1FBC" w:rsidRPr="00CF0C7D" w:rsidRDefault="002E5427" w:rsidP="004A1FBC">
      <w:pPr>
        <w:pStyle w:val="Heading3"/>
        <w:rPr>
          <w:lang w:eastAsia="en-US"/>
        </w:rPr>
      </w:pPr>
      <w:r w:rsidRPr="00CF0C7D">
        <w:rPr>
          <w:lang w:eastAsia="en-US"/>
        </w:rPr>
        <w:t>Comité consultatif communautaire</w:t>
      </w:r>
    </w:p>
    <w:p w14:paraId="1186475A" w14:textId="0CF6E43C" w:rsidR="004A1FBC" w:rsidRPr="00CF0C7D" w:rsidRDefault="002E5427" w:rsidP="00821704">
      <w:pPr>
        <w:rPr>
          <w:lang w:eastAsia="en-US"/>
        </w:rPr>
      </w:pPr>
      <w:r w:rsidRPr="00CF0C7D">
        <w:rPr>
          <w:lang w:eastAsia="en-US"/>
        </w:rPr>
        <w:t xml:space="preserve">Le CCC a participé au projet SURF tout au long de son déroulement, fournissant en continu des commentaires et des suggestions sur l’accessibilité des méthodes de recherche, les canaux de recrutement et les moyens de mobiliser les résultats du projet. Les membres du CAC s’identifiaient eux-mêmes comme des </w:t>
      </w:r>
      <w:r w:rsidR="0045247B">
        <w:rPr>
          <w:lang w:eastAsia="en-US"/>
        </w:rPr>
        <w:t>personnes en situation de handicap</w:t>
      </w:r>
      <w:r w:rsidRPr="00CF0C7D">
        <w:rPr>
          <w:lang w:eastAsia="en-US"/>
        </w:rPr>
        <w:t xml:space="preserve"> et/ou appartenant à d’autres groupes sous-représentés, et tous avaient une expérience du milieu postsecondaire en tant qu’étudiants, membres du personnel universitaire, ou les deux. Le CAC comprenait des représentants issus des établissements d’enseignement postsecondaire suivants :</w:t>
      </w:r>
    </w:p>
    <w:p w14:paraId="003B609B" w14:textId="1F9F5793" w:rsidR="002E5427" w:rsidRPr="00CF0C7D" w:rsidRDefault="002E5427">
      <w:pPr>
        <w:pStyle w:val="ListParagraph"/>
        <w:numPr>
          <w:ilvl w:val="0"/>
          <w:numId w:val="3"/>
        </w:numPr>
        <w:rPr>
          <w:lang w:val="fr-CA"/>
        </w:rPr>
      </w:pPr>
      <w:r w:rsidRPr="00CF0C7D">
        <w:rPr>
          <w:lang w:val="fr-CA"/>
        </w:rPr>
        <w:t>Université Trent</w:t>
      </w:r>
    </w:p>
    <w:p w14:paraId="00F5BC08" w14:textId="5140BA02" w:rsidR="002E5427" w:rsidRPr="00CF0C7D" w:rsidRDefault="002E5427">
      <w:pPr>
        <w:pStyle w:val="ListParagraph"/>
        <w:numPr>
          <w:ilvl w:val="0"/>
          <w:numId w:val="3"/>
        </w:numPr>
        <w:rPr>
          <w:lang w:val="fr-CA"/>
        </w:rPr>
      </w:pPr>
      <w:r w:rsidRPr="00CF0C7D">
        <w:rPr>
          <w:lang w:val="fr-CA"/>
        </w:rPr>
        <w:t>Université Laurier</w:t>
      </w:r>
    </w:p>
    <w:p w14:paraId="6313A239" w14:textId="6B6D53E9" w:rsidR="00F50816" w:rsidRPr="00CF0C7D" w:rsidRDefault="002E5427">
      <w:pPr>
        <w:pStyle w:val="ListParagraph"/>
        <w:numPr>
          <w:ilvl w:val="0"/>
          <w:numId w:val="3"/>
        </w:numPr>
        <w:rPr>
          <w:lang w:val="fr-CA"/>
        </w:rPr>
      </w:pPr>
      <w:r w:rsidRPr="00CF0C7D">
        <w:rPr>
          <w:lang w:val="fr-CA"/>
        </w:rPr>
        <w:t>Université de Waterloo</w:t>
      </w:r>
    </w:p>
    <w:p w14:paraId="2C69CE54" w14:textId="49663103" w:rsidR="00A17FBF" w:rsidRPr="00CF0C7D" w:rsidRDefault="00A17FBF" w:rsidP="00A17FBF">
      <w:pPr>
        <w:pStyle w:val="Heading2"/>
        <w:rPr>
          <w:lang w:eastAsia="en-US"/>
        </w:rPr>
      </w:pPr>
      <w:bookmarkStart w:id="10" w:name="_Toc233210504"/>
      <w:r w:rsidRPr="00CF0C7D">
        <w:rPr>
          <w:lang w:eastAsia="en-US"/>
        </w:rPr>
        <w:t>Participants</w:t>
      </w:r>
      <w:bookmarkEnd w:id="10"/>
    </w:p>
    <w:p w14:paraId="4002DFB1" w14:textId="6B511D58" w:rsidR="00EA06E2" w:rsidRPr="00CF0C7D" w:rsidRDefault="00642FE0" w:rsidP="00EA06E2">
      <w:pPr>
        <w:rPr>
          <w:lang w:eastAsia="en-US"/>
        </w:rPr>
      </w:pPr>
      <w:r w:rsidRPr="00CF0C7D">
        <w:rPr>
          <w:lang w:eastAsia="en-US"/>
        </w:rPr>
        <w:t>Nos objectifs consistaient à étudier les expériences vécues pendant la période de transition entre les études et l’entrée sur le marché du travail. À ce titre, notre population cible était constituée de personnes sur le point d’obtenir leur diplôme d’études postsecondaires (c’est-à-dire celles qui prévoyaient obtenir leur diplôme dans un délai d’un an), et notre objectif était d’effectuer un suivi auprès de ces participants environ 6 à 12 mois après la date prévue de l’obtention de leur diplôme.</w:t>
      </w:r>
    </w:p>
    <w:p w14:paraId="2EE28F29" w14:textId="0D5D5089" w:rsidR="000C5ECF" w:rsidRPr="00CF0C7D" w:rsidRDefault="00642FE0" w:rsidP="005C17CB">
      <w:pPr>
        <w:rPr>
          <w:lang w:eastAsia="en-US"/>
        </w:rPr>
      </w:pPr>
      <w:r w:rsidRPr="00CF0C7D">
        <w:rPr>
          <w:lang w:eastAsia="en-US"/>
        </w:rPr>
        <w:t>Pour être admissibles au projet SURF, les participants devaient :</w:t>
      </w:r>
    </w:p>
    <w:p w14:paraId="0A558FDF" w14:textId="0BE8BC48" w:rsidR="00B574E8" w:rsidRPr="00CF0C7D" w:rsidRDefault="00642FE0">
      <w:pPr>
        <w:pStyle w:val="ListParagraph"/>
        <w:numPr>
          <w:ilvl w:val="0"/>
          <w:numId w:val="2"/>
        </w:numPr>
        <w:rPr>
          <w:lang w:val="fr-CA"/>
        </w:rPr>
      </w:pPr>
      <w:r w:rsidRPr="00CF0C7D">
        <w:rPr>
          <w:lang w:val="fr-CA"/>
        </w:rPr>
        <w:t>fréquentaient actuellement un établissement d’enseignement postsecondaire canadien (université ou collège)</w:t>
      </w:r>
    </w:p>
    <w:p w14:paraId="6FACE56C" w14:textId="77777777" w:rsidR="00642FE0" w:rsidRPr="00CF0C7D" w:rsidRDefault="00642FE0">
      <w:pPr>
        <w:pStyle w:val="ListParagraph"/>
        <w:numPr>
          <w:ilvl w:val="0"/>
          <w:numId w:val="2"/>
        </w:numPr>
        <w:rPr>
          <w:lang w:val="fr-CA"/>
        </w:rPr>
      </w:pPr>
      <w:r w:rsidRPr="00CF0C7D">
        <w:rPr>
          <w:lang w:val="fr-CA"/>
        </w:rPr>
        <w:t>devaient obtenir leur diplôme en 2024</w:t>
      </w:r>
    </w:p>
    <w:p w14:paraId="413B0776" w14:textId="4E1DEAB0" w:rsidR="00B574E8" w:rsidRPr="00CF0C7D" w:rsidRDefault="00642FE0">
      <w:pPr>
        <w:pStyle w:val="ListParagraph"/>
        <w:numPr>
          <w:ilvl w:val="0"/>
          <w:numId w:val="2"/>
        </w:numPr>
        <w:rPr>
          <w:lang w:val="fr-CA"/>
        </w:rPr>
      </w:pPr>
      <w:r w:rsidRPr="00CF0C7D">
        <w:rPr>
          <w:lang w:val="fr-CA"/>
        </w:rPr>
        <w:t>s’identifiaient comme une personne en situation de handicap</w:t>
      </w:r>
    </w:p>
    <w:p w14:paraId="786AC665" w14:textId="2C5CC56C" w:rsidR="00464D9B" w:rsidRPr="00CF0C7D" w:rsidRDefault="00642FE0" w:rsidP="00464D9B">
      <w:pPr>
        <w:rPr>
          <w:lang w:eastAsia="en-US"/>
        </w:rPr>
      </w:pPr>
      <w:r w:rsidRPr="00CF0C7D">
        <w:rPr>
          <w:lang w:eastAsia="en-US"/>
        </w:rPr>
        <w:lastRenderedPageBreak/>
        <w:t>Au départ, nous visions à recruter entre 500 et 1 000 participants au début de l’étude; toutefois, d’importantes difficultés de recrutement nous ont obligés à revoir cet objectif à la baisse. Ces difficultés sont décrites plus en détail dans la section « Limites et orientations futures ». La sensibilisation a été menée à la fois par des canaux directs et communautaires, via les réseaux du CCRW et ceux des partenaires du projet (l’Université Queen’s, l’Université Carleton, l’Université Trent et NEADS), ainsi que par l’intermédiaire d’un panel de recrutement pour sondages géré par un tiers, sous contrat avec le Centre canadien de recherche appliquée et sociale (CHASR) de l’Université de la Saskatchewan.</w:t>
      </w:r>
    </w:p>
    <w:p w14:paraId="3EA17CF7" w14:textId="3FA68AEA" w:rsidR="000C3695" w:rsidRPr="00CF0C7D" w:rsidRDefault="00642FE0" w:rsidP="000C3695">
      <w:pPr>
        <w:pStyle w:val="Heading2"/>
        <w:rPr>
          <w:lang w:eastAsia="en-US"/>
        </w:rPr>
      </w:pPr>
      <w:bookmarkStart w:id="11" w:name="_Toc233210505"/>
      <w:r w:rsidRPr="00CF0C7D">
        <w:rPr>
          <w:lang w:eastAsia="en-US"/>
        </w:rPr>
        <w:t>Matériel et processus</w:t>
      </w:r>
      <w:bookmarkEnd w:id="11"/>
    </w:p>
    <w:p w14:paraId="51F6C31C" w14:textId="0D425DB2" w:rsidR="00986E30" w:rsidRPr="00CF0C7D" w:rsidRDefault="00CF2B72" w:rsidP="00986E30">
      <w:pPr>
        <w:rPr>
          <w:lang w:eastAsia="en-US"/>
        </w:rPr>
      </w:pPr>
      <w:r w:rsidRPr="00CF0C7D">
        <w:rPr>
          <w:lang w:eastAsia="en-US"/>
        </w:rPr>
        <w:t>Les données ont été recueillies aux moments suivants et à l’aide des outils suivants :</w:t>
      </w:r>
    </w:p>
    <w:p w14:paraId="02A7EBB5" w14:textId="18CB5827" w:rsidR="00986E30" w:rsidRPr="00CF0C7D" w:rsidRDefault="00CF2B72">
      <w:pPr>
        <w:pStyle w:val="ListParagraph"/>
        <w:numPr>
          <w:ilvl w:val="0"/>
          <w:numId w:val="1"/>
        </w:numPr>
        <w:rPr>
          <w:lang w:val="fr-CA"/>
        </w:rPr>
      </w:pPr>
      <w:r w:rsidRPr="00CF0C7D">
        <w:rPr>
          <w:lang w:val="fr-CA"/>
        </w:rPr>
        <w:t>Enquête de référence (automne 2023 – automne 2024)</w:t>
      </w:r>
    </w:p>
    <w:p w14:paraId="7F0A2CC2" w14:textId="13CDBC12" w:rsidR="00986E30" w:rsidRPr="00CF0C7D" w:rsidRDefault="00CF2B72">
      <w:pPr>
        <w:pStyle w:val="ListParagraph"/>
        <w:numPr>
          <w:ilvl w:val="0"/>
          <w:numId w:val="1"/>
        </w:numPr>
        <w:rPr>
          <w:lang w:val="fr-CA"/>
        </w:rPr>
      </w:pPr>
      <w:r w:rsidRPr="00CF0C7D">
        <w:rPr>
          <w:lang w:val="fr-CA"/>
        </w:rPr>
        <w:t>Groupes de discussion à mi-parcours (été – automne 2024)</w:t>
      </w:r>
    </w:p>
    <w:p w14:paraId="4463FC8C" w14:textId="1678F378" w:rsidR="00986E30" w:rsidRPr="00CF0C7D" w:rsidRDefault="00CF2B72">
      <w:pPr>
        <w:pStyle w:val="ListParagraph"/>
        <w:numPr>
          <w:ilvl w:val="0"/>
          <w:numId w:val="1"/>
        </w:numPr>
        <w:rPr>
          <w:lang w:val="fr-CA"/>
        </w:rPr>
      </w:pPr>
      <w:r w:rsidRPr="00CF0C7D">
        <w:rPr>
          <w:lang w:val="fr-CA"/>
        </w:rPr>
        <w:t>Enquête de suivi (printemps – automne 2025)</w:t>
      </w:r>
    </w:p>
    <w:p w14:paraId="0E460205" w14:textId="795F42E7" w:rsidR="00C52A14" w:rsidRPr="00CF0C7D" w:rsidRDefault="00CF2B72" w:rsidP="00986E30">
      <w:pPr>
        <w:rPr>
          <w:lang w:eastAsia="en-US"/>
        </w:rPr>
      </w:pPr>
      <w:r w:rsidRPr="00CF0C7D">
        <w:rPr>
          <w:lang w:eastAsia="en-US"/>
        </w:rPr>
        <w:t>Tous les participants admissibles ayant donné leur consentement ont reçu l’</w:t>
      </w:r>
      <w:r w:rsidRPr="00CF0C7D">
        <w:t>enquête</w:t>
      </w:r>
      <w:r w:rsidRPr="00CF0C7D">
        <w:rPr>
          <w:lang w:eastAsia="en-US"/>
        </w:rPr>
        <w:t xml:space="preserve"> de référence. À la fin de cette enquête, les participants avaient la possibilité d’indiquer s’ils souhaitaient participer à un groupe de discussion. Les répondants à l’enquête de référence ont été invités par courriel (communication directe) ou par l’intermédiaire du fournisseur de panel d’enquête sous contrat avec le CHASR à répondre à l’enquête de suivi. Les données de l’enquête de référence et celles de l’enquête de suivi ont été reliées au moyen d’un code anonymisé à six chiffres créé par les participants lors de l’enquête de référence.</w:t>
      </w:r>
    </w:p>
    <w:p w14:paraId="2D87D0C9" w14:textId="09E6282F" w:rsidR="00EB599A" w:rsidRPr="00CF0C7D" w:rsidRDefault="00CF2B72" w:rsidP="00D75441">
      <w:pPr>
        <w:pStyle w:val="Heading3"/>
        <w:rPr>
          <w:lang w:eastAsia="en-US"/>
        </w:rPr>
      </w:pPr>
      <w:r w:rsidRPr="00CF0C7D">
        <w:rPr>
          <w:lang w:eastAsia="en-US"/>
        </w:rPr>
        <w:t>Enquête de référence</w:t>
      </w:r>
    </w:p>
    <w:p w14:paraId="586C5C57" w14:textId="702AF959" w:rsidR="0024711B" w:rsidRPr="00CF0C7D" w:rsidRDefault="00CF2B72" w:rsidP="00EB599A">
      <w:pPr>
        <w:rPr>
          <w:lang w:eastAsia="en-US"/>
        </w:rPr>
      </w:pPr>
      <w:r w:rsidRPr="00CF0C7D">
        <w:rPr>
          <w:lang w:eastAsia="en-US"/>
        </w:rPr>
        <w:t>L’enquête de référence a permis de recueillir des renseignements sur les caractéristiques démographiques des participants, leur expérience du handicap, leur niveau d’études et leurs objectifs professionnels.</w:t>
      </w:r>
    </w:p>
    <w:p w14:paraId="19F1B887" w14:textId="04EA48EC" w:rsidR="0024711B" w:rsidRPr="00CF0C7D" w:rsidRDefault="00CF2B72" w:rsidP="00D75441">
      <w:pPr>
        <w:pStyle w:val="Heading4"/>
        <w:rPr>
          <w:lang w:eastAsia="en-US"/>
        </w:rPr>
      </w:pPr>
      <w:r w:rsidRPr="00CF0C7D">
        <w:rPr>
          <w:lang w:eastAsia="en-US"/>
        </w:rPr>
        <w:t>Caractéristiques démographiques</w:t>
      </w:r>
    </w:p>
    <w:p w14:paraId="26442D96" w14:textId="21CC7CBD" w:rsidR="00EB599A" w:rsidRPr="00CF0C7D" w:rsidRDefault="00CF2B72" w:rsidP="00EB599A">
      <w:pPr>
        <w:rPr>
          <w:lang w:eastAsia="en-US"/>
        </w:rPr>
      </w:pPr>
      <w:r w:rsidRPr="00CF0C7D">
        <w:rPr>
          <w:lang w:eastAsia="en-US"/>
        </w:rPr>
        <w:t xml:space="preserve">Les données recueillies comprenaient l’identité de genre des participants, leur âge, leur race ou leur origine ethnique, leur statut socioéconomique subjectif, leur statut d’étudiant canadien ou </w:t>
      </w:r>
      <w:r w:rsidR="006F2E7D" w:rsidRPr="006F2E7D">
        <w:rPr>
          <w:lang w:eastAsia="en-US"/>
        </w:rPr>
        <w:t>international</w:t>
      </w:r>
      <w:r w:rsidRPr="00CF0C7D">
        <w:rPr>
          <w:lang w:eastAsia="en-US"/>
        </w:rPr>
        <w:t>, ainsi que leur milieu de vie (urbain, suburbain ou rural/éloigné).</w:t>
      </w:r>
    </w:p>
    <w:p w14:paraId="380A5AF6" w14:textId="040F4570" w:rsidR="001C5A55" w:rsidRPr="00CF0C7D" w:rsidRDefault="00CF2B72" w:rsidP="00D75441">
      <w:pPr>
        <w:pStyle w:val="Heading4"/>
        <w:rPr>
          <w:lang w:eastAsia="en-US"/>
        </w:rPr>
      </w:pPr>
      <w:r w:rsidRPr="00CF0C7D">
        <w:rPr>
          <w:lang w:eastAsia="en-US"/>
        </w:rPr>
        <w:t>Handicap</w:t>
      </w:r>
    </w:p>
    <w:p w14:paraId="75946209" w14:textId="58632D64" w:rsidR="001C5A55" w:rsidRPr="00CF0C7D" w:rsidRDefault="00CF2B72" w:rsidP="001C5A55">
      <w:pPr>
        <w:rPr>
          <w:lang w:eastAsia="en-US"/>
        </w:rPr>
      </w:pPr>
      <w:r w:rsidRPr="00CF0C7D">
        <w:rPr>
          <w:lang w:eastAsia="en-US"/>
        </w:rPr>
        <w:t xml:space="preserve">Des données sur le handicap ont été recueillies, notamment le type de handicap (moteur/dextérité; mobilité/agilité; développemental; intellectuel; d’apprentissage; sensoriel; de communication; de santé mentale et/ou </w:t>
      </w:r>
      <w:r w:rsidR="00E74A8A">
        <w:rPr>
          <w:lang w:eastAsia="en-US"/>
        </w:rPr>
        <w:t>à l’usage de substances</w:t>
      </w:r>
      <w:r w:rsidRPr="00CF0C7D">
        <w:rPr>
          <w:lang w:eastAsia="en-US"/>
        </w:rPr>
        <w:t>; médical; ou autre), ainsi que la visibilité du handicap (apparente; non apparente; ou cela dépend) et la permanence du handicap (chronique/permanente; temporaire; ou épisodique/fluctuante). Les participants pouvaient sélectionner autant d’options que nécessaire.</w:t>
      </w:r>
    </w:p>
    <w:p w14:paraId="15ACD3C0" w14:textId="32281CC8" w:rsidR="00DB672D" w:rsidRPr="00CF0C7D" w:rsidRDefault="00CF2B72" w:rsidP="00D75441">
      <w:pPr>
        <w:pStyle w:val="Heading4"/>
        <w:rPr>
          <w:lang w:eastAsia="en-US"/>
        </w:rPr>
      </w:pPr>
      <w:r w:rsidRPr="00CF0C7D">
        <w:rPr>
          <w:lang w:eastAsia="en-US"/>
        </w:rPr>
        <w:t>Éducation</w:t>
      </w:r>
    </w:p>
    <w:p w14:paraId="7A19B2B5" w14:textId="2356409F" w:rsidR="00DB672D" w:rsidRPr="00CF0C7D" w:rsidRDefault="00CF2B72" w:rsidP="00DB672D">
      <w:pPr>
        <w:rPr>
          <w:lang w:eastAsia="en-US"/>
        </w:rPr>
      </w:pPr>
      <w:r w:rsidRPr="00CF0C7D">
        <w:rPr>
          <w:lang w:eastAsia="en-US"/>
        </w:rPr>
        <w:t>Les renseignements sur l’éducation comprenaient le domaine d’études des participants et le type de programme (p. ex., baccalauréat de quatre ans).</w:t>
      </w:r>
    </w:p>
    <w:p w14:paraId="429339AB" w14:textId="613DC2C5" w:rsidR="0045377D" w:rsidRPr="00CF0C7D" w:rsidRDefault="00CF2B72" w:rsidP="00D75441">
      <w:pPr>
        <w:pStyle w:val="Heading4"/>
        <w:rPr>
          <w:lang w:eastAsia="en-US"/>
        </w:rPr>
      </w:pPr>
      <w:r w:rsidRPr="00CF0C7D">
        <w:rPr>
          <w:lang w:eastAsia="en-US"/>
        </w:rPr>
        <w:t>Objectifs et attentes en matière d’emploi</w:t>
      </w:r>
    </w:p>
    <w:p w14:paraId="42D6B31A" w14:textId="2D6818D6" w:rsidR="0045377D" w:rsidRPr="00CF0C7D" w:rsidRDefault="00CF2B72" w:rsidP="0045377D">
      <w:pPr>
        <w:rPr>
          <w:lang w:eastAsia="en-US"/>
        </w:rPr>
      </w:pPr>
      <w:r w:rsidRPr="00CF0C7D">
        <w:rPr>
          <w:lang w:eastAsia="en-US"/>
        </w:rPr>
        <w:t>Des données ont été recueillies sur les attentes des participants concernant la durée de leur recherche d’emploi, leurs objectifs salariaux et leur souhait de trouver un emploi dans un domaine lié à leur formation.</w:t>
      </w:r>
    </w:p>
    <w:p w14:paraId="5D38D515" w14:textId="6945076E" w:rsidR="00EB599A" w:rsidRPr="00CF0C7D" w:rsidRDefault="00CF2B72" w:rsidP="00D75441">
      <w:pPr>
        <w:pStyle w:val="Heading3"/>
        <w:rPr>
          <w:lang w:eastAsia="en-US"/>
        </w:rPr>
      </w:pPr>
      <w:r w:rsidRPr="00CF0C7D">
        <w:rPr>
          <w:lang w:eastAsia="en-US"/>
        </w:rPr>
        <w:lastRenderedPageBreak/>
        <w:t>Enquête de suivi</w:t>
      </w:r>
    </w:p>
    <w:p w14:paraId="14BA53CB" w14:textId="00C63C34" w:rsidR="0053194C" w:rsidRPr="00CF0C7D" w:rsidRDefault="00CF2B72" w:rsidP="0053194C">
      <w:pPr>
        <w:rPr>
          <w:lang w:eastAsia="en-US"/>
        </w:rPr>
      </w:pPr>
      <w:r w:rsidRPr="00CF0C7D">
        <w:rPr>
          <w:lang w:eastAsia="en-US"/>
        </w:rPr>
        <w:t>L’enquête de suivi a permis de recueillir des renseignements sur le statut des participants par rapport à l’obtention de leur diplôme et sur leurs expériences de recherche d’emploi à ce jour. On a demandé aux participants s’ils avaient obtenu leur diplôme et s’ils occupaient actuellement un emploi.</w:t>
      </w:r>
    </w:p>
    <w:p w14:paraId="4033841D" w14:textId="4B850A3A" w:rsidR="00E202DE" w:rsidRPr="00CF0C7D" w:rsidRDefault="00CF2B72" w:rsidP="00D75441">
      <w:pPr>
        <w:pStyle w:val="Heading4"/>
        <w:rPr>
          <w:lang w:eastAsia="en-US"/>
        </w:rPr>
      </w:pPr>
      <w:r w:rsidRPr="00CF0C7D">
        <w:rPr>
          <w:lang w:eastAsia="en-US"/>
        </w:rPr>
        <w:t>Résultats en matière d’emploi et qualité de l’emploi</w:t>
      </w:r>
    </w:p>
    <w:p w14:paraId="6E670950" w14:textId="06378836" w:rsidR="0053194C" w:rsidRPr="00CF0C7D" w:rsidRDefault="00CF2B72" w:rsidP="0053194C">
      <w:pPr>
        <w:rPr>
          <w:lang w:eastAsia="en-US"/>
        </w:rPr>
      </w:pPr>
      <w:r w:rsidRPr="00CF0C7D">
        <w:rPr>
          <w:lang w:eastAsia="en-US"/>
        </w:rPr>
        <w:t>En fonction de leur statut de fin d’études et d’emploi, les participants ont répondu à des questions sur le nombre d’emplois qu’ils avaient occupés depuis l’obtention de leur diplôme; le temps qu’il leur a fallu pour décrocher leur premier emploi; les ressources ou le soutien (le cas échéant) qui les ont aidés à obtenir leur emploi actuel; si leur emploi était lié à leur domaine d’études; leur tranche de revenu; et les indicateurs de la qualité de l’emploi (heures de travail, évaluations personnelles de l’accessibilité et de l’inclusion, satisfaction globale au travail et intentions de chercher un nouvel emploi).</w:t>
      </w:r>
    </w:p>
    <w:p w14:paraId="228F5F1B" w14:textId="5244E607" w:rsidR="00E202DE" w:rsidRPr="00CF0C7D" w:rsidRDefault="00CF2B72" w:rsidP="00FB513F">
      <w:pPr>
        <w:pStyle w:val="Heading4"/>
        <w:rPr>
          <w:lang w:eastAsia="en-US"/>
        </w:rPr>
      </w:pPr>
      <w:r w:rsidRPr="00CF0C7D">
        <w:rPr>
          <w:lang w:eastAsia="en-US"/>
        </w:rPr>
        <w:t>Ressources et mesures de soutien</w:t>
      </w:r>
    </w:p>
    <w:p w14:paraId="47AEE7EC" w14:textId="5D51E652" w:rsidR="00753552" w:rsidRPr="00CF0C7D" w:rsidRDefault="00CF2B72" w:rsidP="0053194C">
      <w:pPr>
        <w:rPr>
          <w:lang w:eastAsia="en-US"/>
        </w:rPr>
      </w:pPr>
      <w:r w:rsidRPr="00CF0C7D">
        <w:rPr>
          <w:lang w:eastAsia="en-US"/>
        </w:rPr>
        <w:t xml:space="preserve">L’enquête de suivi a également cherché à savoir si les participants avaient eu accès à des prestations gouvernementales liées au handicap pendant leurs études postsecondaires ou après l’obtention de leur diplôme, si cela avait eu une incidence sur leur recherche d’emploi, et quelles seraient, selon eux, les ressources ou les mesures de soutien les plus importantes pour aider les nouveaux diplômés </w:t>
      </w:r>
      <w:r w:rsidR="0045247B">
        <w:rPr>
          <w:lang w:eastAsia="en-US"/>
        </w:rPr>
        <w:t>en situation de handicap</w:t>
      </w:r>
      <w:r w:rsidRPr="00CF0C7D">
        <w:rPr>
          <w:lang w:eastAsia="en-US"/>
        </w:rPr>
        <w:t xml:space="preserve"> à accéder au marché du travail.</w:t>
      </w:r>
    </w:p>
    <w:p w14:paraId="4585360E" w14:textId="01BA6FB7" w:rsidR="00623570" w:rsidRPr="00CF0C7D" w:rsidRDefault="00CF2B72" w:rsidP="00623570">
      <w:pPr>
        <w:pStyle w:val="Heading3"/>
        <w:rPr>
          <w:lang w:eastAsia="en-US"/>
        </w:rPr>
      </w:pPr>
      <w:r w:rsidRPr="00CF0C7D">
        <w:rPr>
          <w:lang w:eastAsia="en-US"/>
        </w:rPr>
        <w:t>Guide semi-structuré pour les groupes de discussion</w:t>
      </w:r>
    </w:p>
    <w:p w14:paraId="27B38B3C" w14:textId="77777777" w:rsidR="00CF2B72" w:rsidRPr="00CF0C7D" w:rsidRDefault="00CF2B72" w:rsidP="00CF2B72">
      <w:pPr>
        <w:rPr>
          <w:lang w:eastAsia="en-US"/>
        </w:rPr>
      </w:pPr>
      <w:r w:rsidRPr="00CF0C7D">
        <w:rPr>
          <w:lang w:eastAsia="en-US"/>
        </w:rPr>
        <w:t>Le guide semi-structuré pour les groupes de discussion a été conçu pour explorer les expériences des participants en tant qu’étudiants en situation de handicap au sein de leurs établissements d’enseignement; les politiques et pratiques qui ont favorisé ou entravé leur réussite scolaire et leur développement de carrière; ainsi que les diverses façons dont le handicap peut interagir avec d’autres aspects de leur identité sociale pour influencer leur parcours postsecondaire et leur préparation à la carrière.</w:t>
      </w:r>
    </w:p>
    <w:p w14:paraId="22779845" w14:textId="1E4220A4" w:rsidR="00623570" w:rsidRPr="00CF0C7D" w:rsidRDefault="00CF2B72" w:rsidP="00CF2B72">
      <w:pPr>
        <w:rPr>
          <w:rFonts w:cs="Arial"/>
        </w:rPr>
      </w:pPr>
      <w:r w:rsidRPr="00CF0C7D">
        <w:rPr>
          <w:lang w:eastAsia="en-US"/>
        </w:rPr>
        <w:t>Voici quelques exemples de questions : « Votre établissement offrait-il des mesures d’accessibilité ou des pratiques inclusives qui ont influencé votre sentiment de préparation à trouver un emploi ou à commencer à travailler? » et « Avez-vous rencontré, ou prévoyez-vous rencontrer, des obstacles lors de la transition de l’école au marché du travail? »</w:t>
      </w:r>
      <w:r w:rsidR="00623570" w:rsidRPr="00CF0C7D">
        <w:rPr>
          <w:rFonts w:cs="Arial"/>
        </w:rPr>
        <w:t xml:space="preserve"> </w:t>
      </w:r>
    </w:p>
    <w:p w14:paraId="25398D3B" w14:textId="635404CF" w:rsidR="000C3695" w:rsidRPr="00CF0C7D" w:rsidRDefault="004E731F" w:rsidP="000C3695">
      <w:pPr>
        <w:pStyle w:val="Heading2"/>
        <w:rPr>
          <w:lang w:eastAsia="en-US"/>
        </w:rPr>
      </w:pPr>
      <w:bookmarkStart w:id="12" w:name="_Toc233210506"/>
      <w:r w:rsidRPr="00CF0C7D">
        <w:rPr>
          <w:lang w:eastAsia="en-US"/>
        </w:rPr>
        <w:t>Nettoyage et validation des données</w:t>
      </w:r>
      <w:bookmarkEnd w:id="12"/>
    </w:p>
    <w:p w14:paraId="3D9DEF9B" w14:textId="11CC2E28" w:rsidR="000C3695" w:rsidRPr="00CF0C7D" w:rsidRDefault="004E731F" w:rsidP="00FF1EF4">
      <w:pPr>
        <w:rPr>
          <w:lang w:eastAsia="en-US"/>
        </w:rPr>
      </w:pPr>
      <w:r w:rsidRPr="00CF0C7D">
        <w:rPr>
          <w:lang w:eastAsia="en-US"/>
        </w:rPr>
        <w:t>Toutes les données de l’enquête ont été examinées afin d’éliminer les entrées ne comportant aucune réponse (c’est-à-dire les participants n’ayant pas donné leur consentement à participer ou ayant refusé de répondre à toutes les questions de l’enquête). De plus, plusieurs contrôles d’attention ont été intégrés aux questionnaires afin de détecter les réponses données par inadvertance ou frauduleuses.</w:t>
      </w:r>
    </w:p>
    <w:p w14:paraId="7A4C3A1F" w14:textId="25993E7E" w:rsidR="00990001" w:rsidRPr="00CF0C7D" w:rsidRDefault="004E731F" w:rsidP="00990001">
      <w:pPr>
        <w:pStyle w:val="Heading3"/>
        <w:rPr>
          <w:lang w:eastAsia="en-US"/>
        </w:rPr>
      </w:pPr>
      <w:r w:rsidRPr="00CF0C7D">
        <w:rPr>
          <w:lang w:eastAsia="en-US"/>
        </w:rPr>
        <w:t>Contrôle d’attention par image</w:t>
      </w:r>
    </w:p>
    <w:p w14:paraId="1C116D13" w14:textId="3BD85E84" w:rsidR="00990001" w:rsidRPr="00CF0C7D" w:rsidRDefault="004E731F" w:rsidP="00990001">
      <w:pPr>
        <w:rPr>
          <w:lang w:eastAsia="en-US"/>
        </w:rPr>
      </w:pPr>
      <w:r w:rsidRPr="00CF0C7D">
        <w:rPr>
          <w:lang w:eastAsia="en-US"/>
        </w:rPr>
        <w:t>Une image clipart, choisie au hasard parmi un ensemble de quatre images représentant des objets courants, était présentée aux participants à l’enquête. On a demandé aux participants d’indiquer le contenu de l’image dans un champ de texte libre. Un texte alternatif a été intégré afin de permettre aux participants utilisant un logiciel de lecture d’écran de remplir le sondage. Les participants qui n’ont pas correctement identifié l’image ont été exclus de l’analyse.</w:t>
      </w:r>
    </w:p>
    <w:p w14:paraId="65740DE9" w14:textId="383308F7" w:rsidR="00990001" w:rsidRPr="00CF0C7D" w:rsidRDefault="0021289D" w:rsidP="00BA6F44">
      <w:pPr>
        <w:pStyle w:val="Heading3"/>
        <w:rPr>
          <w:lang w:eastAsia="en-US"/>
        </w:rPr>
      </w:pPr>
      <w:r w:rsidRPr="00CF0C7D">
        <w:rPr>
          <w:lang w:eastAsia="en-US"/>
        </w:rPr>
        <w:lastRenderedPageBreak/>
        <w:t>Contrôle de vigilance concernant les établissements d’enseignement postsecondaire</w:t>
      </w:r>
    </w:p>
    <w:p w14:paraId="7F0320E6" w14:textId="0D814358" w:rsidR="001960B3" w:rsidRPr="00CF0C7D" w:rsidRDefault="0021289D" w:rsidP="00BA6F44">
      <w:pPr>
        <w:rPr>
          <w:lang w:eastAsia="en-US"/>
        </w:rPr>
      </w:pPr>
      <w:r w:rsidRPr="00CF0C7D">
        <w:rPr>
          <w:lang w:eastAsia="en-US"/>
        </w:rPr>
        <w:t>En raison du nombre élevé de réponses frauduleuses ou suspectes reçues au début du recrutement, des mesures de filtrage supplémentaires ont été mises en place afin d’écarter les personnes qui n’étaient pas des étudiants canadiens de niveau postsecondaire.</w:t>
      </w:r>
    </w:p>
    <w:p w14:paraId="0FA1D062" w14:textId="79BEF56B" w:rsidR="001960B3" w:rsidRPr="00CF0C7D" w:rsidRDefault="0021289D" w:rsidP="001960B3">
      <w:pPr>
        <w:pStyle w:val="Heading4"/>
        <w:rPr>
          <w:lang w:eastAsia="en-US"/>
        </w:rPr>
      </w:pPr>
      <w:r w:rsidRPr="00CF0C7D">
        <w:rPr>
          <w:lang w:eastAsia="en-US"/>
        </w:rPr>
        <w:t>Recrutement direct et par l’entremise de partenaires</w:t>
      </w:r>
    </w:p>
    <w:p w14:paraId="576AD3C1" w14:textId="5B4F37A2" w:rsidR="00BA6F44" w:rsidRPr="00CF0C7D" w:rsidRDefault="0021289D" w:rsidP="00BA6F44">
      <w:pPr>
        <w:rPr>
          <w:lang w:eastAsia="en-US"/>
        </w:rPr>
      </w:pPr>
      <w:r w:rsidRPr="00CF0C7D">
        <w:rPr>
          <w:lang w:eastAsia="en-US"/>
        </w:rPr>
        <w:t>Les personnes recrutées par démarchage direct ou par l’entremise d’organismes partenaires devaient fournir une adresse courriel associée à un établissement d’enseignement postsecondaire canadien afin de recevoir le lien vers l’enquête de référence.</w:t>
      </w:r>
    </w:p>
    <w:p w14:paraId="448F37B6" w14:textId="13394DEC" w:rsidR="001960B3" w:rsidRPr="00CF0C7D" w:rsidRDefault="0021289D" w:rsidP="001960B3">
      <w:pPr>
        <w:pStyle w:val="Heading4"/>
        <w:rPr>
          <w:lang w:eastAsia="en-US"/>
        </w:rPr>
      </w:pPr>
      <w:r w:rsidRPr="00CF0C7D">
        <w:rPr>
          <w:lang w:eastAsia="en-US"/>
        </w:rPr>
        <w:t>Recrutement par un tiers</w:t>
      </w:r>
    </w:p>
    <w:p w14:paraId="17D22E43" w14:textId="77777777" w:rsidR="0021289D" w:rsidRPr="00CF0C7D" w:rsidRDefault="0021289D" w:rsidP="0021289D">
      <w:pPr>
        <w:rPr>
          <w:lang w:eastAsia="en-US"/>
        </w:rPr>
      </w:pPr>
      <w:r w:rsidRPr="00CF0C7D">
        <w:rPr>
          <w:lang w:eastAsia="en-US"/>
        </w:rPr>
        <w:t>Pour les personnes recrutées par l’entremise d’un panel de recrutement tiers, on a demandé aux participants de sélectionner leur établissement d’enseignement postsecondaire dans un menu déroulant répertoriant les établissements d’enseignement postsecondaire canadiens au début du sondage. À la fin de l’enquête, les participants devaient entrer le nom de leur établissement d’enseignement postsecondaire dans un champ de texte libre. Les participants dont les réponses ne correspondaient pas ont été exclus de l’analyse.</w:t>
      </w:r>
    </w:p>
    <w:p w14:paraId="4E244F4D" w14:textId="084E0779" w:rsidR="00E2344F" w:rsidRPr="00CF0C7D" w:rsidRDefault="0021289D" w:rsidP="0021289D">
      <w:pPr>
        <w:rPr>
          <w:lang w:eastAsia="en-US"/>
        </w:rPr>
      </w:pPr>
      <w:r w:rsidRPr="00CF0C7D">
        <w:rPr>
          <w:lang w:eastAsia="en-US"/>
        </w:rPr>
        <w:t>Parmi les mesures supplémentaires de sécurité et de filtrage prises par le fournisseur de recrutement tiers figuraient le recrutement par double consentement, la validation des profils et des questionnaires internes réguliers de gestion de la qualité distribués aux groupes de participants.</w:t>
      </w:r>
    </w:p>
    <w:p w14:paraId="1E90A35B" w14:textId="38F38180" w:rsidR="000C3695" w:rsidRPr="00CF0C7D" w:rsidRDefault="00EC140D" w:rsidP="00D0110F">
      <w:pPr>
        <w:pStyle w:val="Heading1"/>
        <w:ind w:left="0"/>
        <w:rPr>
          <w:lang w:val="fr-CA"/>
        </w:rPr>
      </w:pPr>
      <w:bookmarkStart w:id="13" w:name="_Toc233210507"/>
      <w:r w:rsidRPr="00CF0C7D">
        <w:rPr>
          <w:lang w:val="fr-CA"/>
        </w:rPr>
        <w:t>Résultats</w:t>
      </w:r>
      <w:bookmarkEnd w:id="13"/>
    </w:p>
    <w:p w14:paraId="037DB049" w14:textId="7523C433" w:rsidR="00E537FF" w:rsidRPr="00CF0C7D" w:rsidRDefault="00EC140D" w:rsidP="00E537FF">
      <w:pPr>
        <w:pStyle w:val="Heading2"/>
        <w:rPr>
          <w:lang w:eastAsia="en-US"/>
        </w:rPr>
      </w:pPr>
      <w:bookmarkStart w:id="14" w:name="_Toc233210508"/>
      <w:r w:rsidRPr="00CF0C7D">
        <w:rPr>
          <w:lang w:eastAsia="en-US"/>
        </w:rPr>
        <w:t>Caractéristiques des participants à l’enquête</w:t>
      </w:r>
      <w:bookmarkEnd w:id="14"/>
    </w:p>
    <w:p w14:paraId="7008C2A0" w14:textId="5A9A3ABC" w:rsidR="00337241" w:rsidRPr="00CF0C7D" w:rsidRDefault="00EC140D" w:rsidP="00337241">
      <w:pPr>
        <w:rPr>
          <w:lang w:eastAsia="en-US"/>
        </w:rPr>
      </w:pPr>
      <w:r w:rsidRPr="00CF0C7D">
        <w:rPr>
          <w:lang w:eastAsia="en-US"/>
        </w:rPr>
        <w:t>Après le nettoyage des données, 288 réponses valides ont été incluses dans les données du sondage de référence. Au total, 47 participants ont répondu au sondage de suivi, mais 5 cas n’ont pas pu être associés à une réponse de référence valide; ainsi, le nombre total de cas complets (réponses comportant une réponse de référence et une réponse de suivi valides) s’élevait à 42.</w:t>
      </w:r>
    </w:p>
    <w:p w14:paraId="4E20160E" w14:textId="73D7DD72" w:rsidR="00883CAB" w:rsidRPr="00CF0C7D" w:rsidRDefault="00EC140D" w:rsidP="00E537FF">
      <w:pPr>
        <w:pStyle w:val="Heading3"/>
        <w:rPr>
          <w:lang w:eastAsia="en-US"/>
        </w:rPr>
      </w:pPr>
      <w:r w:rsidRPr="00CF0C7D">
        <w:rPr>
          <w:lang w:eastAsia="en-US"/>
        </w:rPr>
        <w:t>Référence</w:t>
      </w:r>
    </w:p>
    <w:p w14:paraId="01D23E17" w14:textId="06CC0C9C" w:rsidR="00CD6435" w:rsidRPr="00CF0C7D" w:rsidRDefault="00EC140D" w:rsidP="00E537FF">
      <w:pPr>
        <w:pStyle w:val="Heading4"/>
        <w:rPr>
          <w:lang w:eastAsia="en-US"/>
        </w:rPr>
      </w:pPr>
      <w:r w:rsidRPr="00CF0C7D">
        <w:rPr>
          <w:lang w:eastAsia="en-US"/>
        </w:rPr>
        <w:t>Données démographiques</w:t>
      </w:r>
    </w:p>
    <w:p w14:paraId="41916C1F" w14:textId="072F2129" w:rsidR="00E52F3E" w:rsidRPr="00CF0C7D" w:rsidRDefault="00EC140D" w:rsidP="005F6861">
      <w:pPr>
        <w:rPr>
          <w:lang w:eastAsia="en-US"/>
        </w:rPr>
      </w:pPr>
      <w:r w:rsidRPr="00CF0C7D">
        <w:rPr>
          <w:lang w:eastAsia="en-US"/>
        </w:rPr>
        <w:t>Dans l’échantillon de référence, l’âge des participants variait de 17 à 58 ans, avec un âge moyen de 24,1 ans. L’échantillon comprenait 154 femmes (53,5 %), 108 hommes (37,5 %), 22 participants s’identifiant comme non binaires ou ayant choisi de définir eux-mêmes leur genre (7,6 %), et 4 personnes ayant refusé de répondre. Les femmes étaient légèrement surreprésentées dans l’échantillon, ce qui correspond aux statistiques indiquant que les femmes sont plus nombreuses que les hommes à présenter un handicap</w:t>
      </w:r>
      <w:r w:rsidR="00442E40" w:rsidRPr="00CF0C7D">
        <w:rPr>
          <w:lang w:eastAsia="en-US"/>
        </w:rPr>
        <w:t>,</w:t>
      </w:r>
      <w:r w:rsidR="00883CAB" w:rsidRPr="00CF0C7D">
        <w:rPr>
          <w:lang w:eastAsia="en-US"/>
        </w:rPr>
        <w:fldChar w:fldCharType="begin"/>
      </w:r>
      <w:r w:rsidR="00883CAB" w:rsidRPr="00CF0C7D">
        <w:rPr>
          <w:lang w:eastAsia="en-US"/>
        </w:rPr>
        <w:instrText xml:space="preserve"> NOTEREF _Ref225533654 \f \h </w:instrText>
      </w:r>
      <w:r w:rsidR="00883CAB" w:rsidRPr="00CF0C7D">
        <w:rPr>
          <w:lang w:eastAsia="en-US"/>
        </w:rPr>
      </w:r>
      <w:r w:rsidR="00883CAB" w:rsidRPr="00CF0C7D">
        <w:rPr>
          <w:lang w:eastAsia="en-US"/>
        </w:rPr>
        <w:fldChar w:fldCharType="separate"/>
      </w:r>
      <w:r w:rsidR="007E08D9" w:rsidRPr="00CF0C7D">
        <w:rPr>
          <w:rStyle w:val="EndnoteReference"/>
        </w:rPr>
        <w:t>5</w:t>
      </w:r>
      <w:r w:rsidR="00883CAB" w:rsidRPr="00CF0C7D">
        <w:rPr>
          <w:lang w:eastAsia="en-US"/>
        </w:rPr>
        <w:fldChar w:fldCharType="end"/>
      </w:r>
      <w:r w:rsidR="0023313F" w:rsidRPr="00CF0C7D">
        <w:rPr>
          <w:lang w:eastAsia="en-US"/>
        </w:rPr>
        <w:t xml:space="preserve"> </w:t>
      </w:r>
      <w:r w:rsidRPr="00CF0C7D">
        <w:rPr>
          <w:lang w:eastAsia="en-US"/>
        </w:rPr>
        <w:t>et qu’elles sont plus nombreuses que les hommes à fréquenter un établissement d’enseignement postsecondaire et à en obtenir un diplôme.</w:t>
      </w:r>
      <w:r w:rsidR="00883CAB" w:rsidRPr="00CF0C7D">
        <w:rPr>
          <w:rStyle w:val="EndnoteReference"/>
          <w:lang w:eastAsia="en-US"/>
        </w:rPr>
        <w:endnoteReference w:id="11"/>
      </w:r>
      <w:r w:rsidR="00E46F6A" w:rsidRPr="00CF0C7D">
        <w:rPr>
          <w:lang w:eastAsia="en-US"/>
        </w:rPr>
        <w:t xml:space="preserve"> </w:t>
      </w:r>
      <w:r w:rsidRPr="00CF0C7D">
        <w:rPr>
          <w:lang w:eastAsia="en-US"/>
        </w:rPr>
        <w:t>Une forte proportion de participants (105; 36,5 %) s’identifiaient comme 2SLGBTQIA+. Ce résultat concorde avec les statistiques indiquant que les personnes qui s’identifient comme 2SLGBTQIA+ sont disproportionnellement susceptibles de vivre un handicap : les personnes 2SLGBTQIA+ représentent environ 4 % de la population canadienne,</w:t>
      </w:r>
      <w:r w:rsidR="00883CAB" w:rsidRPr="00CF0C7D">
        <w:rPr>
          <w:rStyle w:val="EndnoteReference"/>
          <w:lang w:eastAsia="en-US"/>
        </w:rPr>
        <w:endnoteReference w:id="12"/>
      </w:r>
      <w:r w:rsidR="00293D51" w:rsidRPr="00CF0C7D">
        <w:rPr>
          <w:lang w:eastAsia="en-US"/>
        </w:rPr>
        <w:t xml:space="preserve"> </w:t>
      </w:r>
      <w:r w:rsidRPr="00CF0C7D">
        <w:rPr>
          <w:lang w:eastAsia="en-US"/>
        </w:rPr>
        <w:t xml:space="preserve">mais près de 9 % de la population des Canadiens </w:t>
      </w:r>
      <w:r w:rsidR="0045247B">
        <w:rPr>
          <w:lang w:eastAsia="en-US"/>
        </w:rPr>
        <w:t>en situation de handicap</w:t>
      </w:r>
      <w:r w:rsidRPr="00CF0C7D">
        <w:rPr>
          <w:lang w:eastAsia="en-US"/>
        </w:rPr>
        <w:t>.</w:t>
      </w:r>
      <w:r w:rsidR="00883CAB" w:rsidRPr="00CF0C7D">
        <w:rPr>
          <w:rStyle w:val="EndnoteReference"/>
          <w:lang w:eastAsia="en-US"/>
        </w:rPr>
        <w:endnoteReference w:id="13"/>
      </w:r>
    </w:p>
    <w:p w14:paraId="6D2B0BCB" w14:textId="0FF80FB8" w:rsidR="00EC140D" w:rsidRPr="00CF0C7D" w:rsidRDefault="00EC140D" w:rsidP="005F6861">
      <w:pPr>
        <w:rPr>
          <w:lang w:eastAsia="en-US"/>
        </w:rPr>
      </w:pPr>
      <w:r w:rsidRPr="00CF0C7D">
        <w:rPr>
          <w:lang w:eastAsia="en-US"/>
        </w:rPr>
        <w:t xml:space="preserve">Plus des deux tiers (202; 70,1 %) des participants se sont identifiés comme étant </w:t>
      </w:r>
      <w:r w:rsidR="006F2E7D">
        <w:rPr>
          <w:lang w:eastAsia="en-US"/>
        </w:rPr>
        <w:t>blancs</w:t>
      </w:r>
      <w:r w:rsidRPr="00CF0C7D">
        <w:rPr>
          <w:lang w:eastAsia="en-US"/>
        </w:rPr>
        <w:t xml:space="preserve"> (y compris les participants ayant pu sélectionner plusieurs réponses). Vingt et un participants (7,3 %) se sont identifiés comme étant d’Asie de l’Est; 17 (5,9 %) se sont identifiés comme étant d’Asie du Sud; 23 (8,0 %) se sont identifiés comme étant des </w:t>
      </w:r>
      <w:r w:rsidR="006F2E7D" w:rsidRPr="006F2E7D">
        <w:rPr>
          <w:lang w:eastAsia="en-US"/>
        </w:rPr>
        <w:t xml:space="preserve">Premières Nations, Inuit et Métis </w:t>
      </w:r>
      <w:r w:rsidR="006F2E7D" w:rsidRPr="006F2E7D">
        <w:rPr>
          <w:lang w:eastAsia="en-US"/>
        </w:rPr>
        <w:lastRenderedPageBreak/>
        <w:t>o</w:t>
      </w:r>
      <w:r w:rsidR="00D25C00">
        <w:rPr>
          <w:lang w:eastAsia="en-US"/>
        </w:rPr>
        <w:t>u</w:t>
      </w:r>
      <w:r w:rsidR="006F2E7D" w:rsidRPr="006F2E7D">
        <w:rPr>
          <w:lang w:eastAsia="en-US"/>
        </w:rPr>
        <w:t xml:space="preserve"> personnes autochtones au Canada</w:t>
      </w:r>
      <w:r w:rsidRPr="00CF0C7D">
        <w:rPr>
          <w:lang w:eastAsia="en-US"/>
        </w:rPr>
        <w:t>; 13 (4,5 %) se sont identifiés comme latino-américains; 8 (2,8 %) se sont identifiés comme originaires du Moyen-Orient ou d’Afrique du Nord; 20 (6,9 %) se sont identifiés comme Noirs; et 4 (1,4 %) se sont identifiés comme originaires d’Asie du Sud-Est.</w:t>
      </w:r>
    </w:p>
    <w:p w14:paraId="6C37232A" w14:textId="16C2AA2A" w:rsidR="00605864" w:rsidRPr="00CF0C7D" w:rsidRDefault="00EC140D" w:rsidP="005F6861">
      <w:pPr>
        <w:rPr>
          <w:lang w:eastAsia="en-US"/>
        </w:rPr>
      </w:pPr>
      <w:r w:rsidRPr="00CF0C7D">
        <w:rPr>
          <w:lang w:eastAsia="en-US"/>
        </w:rPr>
        <w:t>Les réponses à la question sur le statut socioéconomique (SSE) variaient de 1 à 10. En moyenne, les participants ont évalué leur SSE subjectif au Canada à 4,84 (écart-type = 1,83) et au sein de leur établissement d’enseignement à 4,75 (écart-type = 1,90), ce qui indique qu’ils se percevaient en moyenne comme appartenant à la classe moyenne.</w:t>
      </w:r>
    </w:p>
    <w:p w14:paraId="382966D9" w14:textId="558F8E61" w:rsidR="00D04C76" w:rsidRPr="00CF0C7D" w:rsidRDefault="00EC140D" w:rsidP="00E537FF">
      <w:pPr>
        <w:pStyle w:val="Heading4"/>
        <w:rPr>
          <w:lang w:eastAsia="en-US"/>
        </w:rPr>
      </w:pPr>
      <w:r w:rsidRPr="00CF0C7D">
        <w:rPr>
          <w:lang w:eastAsia="en-US"/>
        </w:rPr>
        <w:t>Handicap</w:t>
      </w:r>
    </w:p>
    <w:p w14:paraId="4DBF2956" w14:textId="4789D09A" w:rsidR="00A32776" w:rsidRPr="00CF0C7D" w:rsidRDefault="00EC140D" w:rsidP="005F6861">
      <w:pPr>
        <w:rPr>
          <w:lang w:eastAsia="en-US"/>
        </w:rPr>
      </w:pPr>
      <w:r w:rsidRPr="00CF0C7D">
        <w:rPr>
          <w:lang w:eastAsia="en-US"/>
        </w:rPr>
        <w:t xml:space="preserve">Le type de handicap le plus fréquemment signalé par les participants concernait la santé mentale et/ou </w:t>
      </w:r>
      <w:r w:rsidR="00E74A8A">
        <w:rPr>
          <w:lang w:eastAsia="en-US"/>
        </w:rPr>
        <w:t>à l’usage de substances</w:t>
      </w:r>
      <w:r w:rsidRPr="00CF0C7D">
        <w:rPr>
          <w:lang w:eastAsia="en-US"/>
        </w:rPr>
        <w:t>, plus d’un tiers des participants présentant un handicap lié à la santé mentale. Cela corrobore les statistiques nationales montrant que le handicap lié à la santé mentale est le type de handicap le plus courant chez les jeunes adultes</w:t>
      </w:r>
      <w:r w:rsidR="00EF6190" w:rsidRPr="00CF0C7D">
        <w:rPr>
          <w:lang w:eastAsia="en-US"/>
        </w:rPr>
        <w:t>,</w:t>
      </w:r>
      <w:r w:rsidR="00FF34DD" w:rsidRPr="00CF0C7D">
        <w:rPr>
          <w:lang w:eastAsia="en-US"/>
        </w:rPr>
        <w:fldChar w:fldCharType="begin"/>
      </w:r>
      <w:r w:rsidR="00FF34DD" w:rsidRPr="00CF0C7D">
        <w:rPr>
          <w:lang w:eastAsia="en-US"/>
        </w:rPr>
        <w:instrText xml:space="preserve"> NOTEREF _Ref225533654 \f \h </w:instrText>
      </w:r>
      <w:r w:rsidR="00CD6435" w:rsidRPr="00CF0C7D">
        <w:rPr>
          <w:lang w:eastAsia="en-US"/>
        </w:rPr>
        <w:instrText xml:space="preserve"> \* MERGEFORMAT </w:instrText>
      </w:r>
      <w:r w:rsidR="00FF34DD" w:rsidRPr="00CF0C7D">
        <w:rPr>
          <w:lang w:eastAsia="en-US"/>
        </w:rPr>
      </w:r>
      <w:r w:rsidR="00FF34DD" w:rsidRPr="00CF0C7D">
        <w:rPr>
          <w:lang w:eastAsia="en-US"/>
        </w:rPr>
        <w:fldChar w:fldCharType="separate"/>
      </w:r>
      <w:r w:rsidR="007E08D9" w:rsidRPr="00CF0C7D">
        <w:rPr>
          <w:rStyle w:val="EndnoteReference"/>
        </w:rPr>
        <w:t>5</w:t>
      </w:r>
      <w:r w:rsidR="00FF34DD" w:rsidRPr="00CF0C7D">
        <w:rPr>
          <w:lang w:eastAsia="en-US"/>
        </w:rPr>
        <w:fldChar w:fldCharType="end"/>
      </w:r>
      <w:r w:rsidR="00EF6190" w:rsidRPr="00CF0C7D">
        <w:rPr>
          <w:lang w:eastAsia="en-US"/>
        </w:rPr>
        <w:t xml:space="preserve"> </w:t>
      </w:r>
      <w:r w:rsidRPr="00CF0C7D">
        <w:rPr>
          <w:lang w:eastAsia="en-US"/>
        </w:rPr>
        <w:t>ainsi que les données suggérant que les étudiants de niveau postsecondaire sont confrontés à des taux disproportionnellement élevés de handicap lié à la santé mentale.</w:t>
      </w:r>
      <w:r w:rsidR="00FF34DD" w:rsidRPr="00CF0C7D">
        <w:rPr>
          <w:rStyle w:val="EndnoteReference"/>
          <w:lang w:eastAsia="en-US"/>
        </w:rPr>
        <w:endnoteReference w:id="14"/>
      </w:r>
      <w:r w:rsidR="00EF6190" w:rsidRPr="00CF0C7D">
        <w:rPr>
          <w:lang w:eastAsia="en-US"/>
        </w:rPr>
        <w:t xml:space="preserve"> </w:t>
      </w:r>
      <w:r w:rsidRPr="00CF0C7D">
        <w:rPr>
          <w:lang w:eastAsia="en-US"/>
        </w:rPr>
        <w:t>Le tableau ci-dessous présente le nombre et la proportion de participants ayant déclaré chaque type de handicap.</w:t>
      </w:r>
    </w:p>
    <w:p w14:paraId="6011E2B5" w14:textId="2E80772E" w:rsidR="00A4542F" w:rsidRPr="00CF0C7D" w:rsidRDefault="00EC140D" w:rsidP="005F6861">
      <w:pPr>
        <w:rPr>
          <w:lang w:eastAsia="en-US"/>
        </w:rPr>
      </w:pPr>
      <w:r w:rsidRPr="00CF0C7D">
        <w:rPr>
          <w:lang w:eastAsia="en-US"/>
        </w:rPr>
        <w:t>Tableau 1. Types de handicap déclarés par les participants lors de l'enquête initiale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1. Types de handicap déclarés par les participants lors de l'enquête initiale"/>
        <w:tblDescription w:val="Tableau à deux colonnes présentant les types de handicap signalés au début de l’étude, ainsi que le nombre et le pourcentage de participants dans chaque catégorie. La catégorie « santé mentale » est la plus courante (122, 42,4 %), suivie par « handicap d’apprentissage » (71, 24,7 %), « handicap médicaux » (65, 22,6 %), « handicap sensoriels » (54, 18,8 %), de mobilité/agilité (47, 16,3 %), de développement (41, 14,2 %), de communication (28, 9,7 %), de motricité/dextérité (24, 8,3 %), d’ordre intellectuel (22, 7,6 %) et « autres » (11, 3,8 %)."/>
      </w:tblPr>
      <w:tblGrid>
        <w:gridCol w:w="3870"/>
        <w:gridCol w:w="2096"/>
      </w:tblGrid>
      <w:tr w:rsidR="007205C3" w:rsidRPr="00CF0C7D" w14:paraId="75DD8A06" w14:textId="77777777" w:rsidTr="007205C3">
        <w:trPr>
          <w:jc w:val="center"/>
        </w:trPr>
        <w:tc>
          <w:tcPr>
            <w:tcW w:w="3870" w:type="dxa"/>
            <w:tcBorders>
              <w:top w:val="single" w:sz="4" w:space="0" w:color="auto"/>
              <w:bottom w:val="single" w:sz="4" w:space="0" w:color="auto"/>
            </w:tcBorders>
          </w:tcPr>
          <w:p w14:paraId="01ED7555" w14:textId="4F4D797D" w:rsidR="007205C3" w:rsidRPr="00CF0C7D" w:rsidRDefault="00EC140D" w:rsidP="007205C3">
            <w:pPr>
              <w:jc w:val="right"/>
              <w:rPr>
                <w:b/>
                <w:bCs/>
                <w:lang w:eastAsia="en-US"/>
              </w:rPr>
            </w:pPr>
            <w:r w:rsidRPr="00CF0C7D">
              <w:rPr>
                <w:b/>
                <w:bCs/>
                <w:lang w:eastAsia="en-US"/>
              </w:rPr>
              <w:t>Type de handicap</w:t>
            </w:r>
          </w:p>
        </w:tc>
        <w:tc>
          <w:tcPr>
            <w:tcW w:w="2096" w:type="dxa"/>
            <w:tcBorders>
              <w:top w:val="single" w:sz="4" w:space="0" w:color="auto"/>
              <w:bottom w:val="single" w:sz="4" w:space="0" w:color="auto"/>
            </w:tcBorders>
          </w:tcPr>
          <w:p w14:paraId="0DBAEE23" w14:textId="77777777" w:rsidR="007205C3" w:rsidRPr="00CF0C7D" w:rsidRDefault="007205C3" w:rsidP="005F6861">
            <w:pPr>
              <w:rPr>
                <w:b/>
                <w:bCs/>
                <w:lang w:eastAsia="en-US"/>
              </w:rPr>
            </w:pPr>
          </w:p>
        </w:tc>
      </w:tr>
      <w:tr w:rsidR="00EC140D" w:rsidRPr="00CF0C7D" w14:paraId="15DB89C6" w14:textId="77777777" w:rsidTr="007205C3">
        <w:trPr>
          <w:jc w:val="center"/>
        </w:trPr>
        <w:tc>
          <w:tcPr>
            <w:tcW w:w="3870" w:type="dxa"/>
            <w:tcBorders>
              <w:top w:val="single" w:sz="4" w:space="0" w:color="auto"/>
            </w:tcBorders>
          </w:tcPr>
          <w:p w14:paraId="4F0509F4" w14:textId="67B1481A" w:rsidR="00EC140D" w:rsidRPr="00CF0C7D" w:rsidRDefault="00EC140D" w:rsidP="00EC140D">
            <w:pPr>
              <w:jc w:val="right"/>
              <w:rPr>
                <w:lang w:eastAsia="en-US"/>
              </w:rPr>
            </w:pPr>
            <w:r w:rsidRPr="00CF0C7D">
              <w:t xml:space="preserve">Santé mentale et/ou </w:t>
            </w:r>
            <w:r w:rsidR="00E74A8A">
              <w:t>à l’usage de substances</w:t>
            </w:r>
            <w:r w:rsidRPr="00CF0C7D">
              <w:t xml:space="preserve">    </w:t>
            </w:r>
          </w:p>
        </w:tc>
        <w:tc>
          <w:tcPr>
            <w:tcW w:w="2096" w:type="dxa"/>
            <w:tcBorders>
              <w:top w:val="single" w:sz="4" w:space="0" w:color="auto"/>
            </w:tcBorders>
          </w:tcPr>
          <w:p w14:paraId="0F5BC690" w14:textId="26E671B8" w:rsidR="00EC140D" w:rsidRPr="00CF0C7D" w:rsidRDefault="00EC140D" w:rsidP="00EC140D">
            <w:pPr>
              <w:rPr>
                <w:lang w:eastAsia="en-US"/>
              </w:rPr>
            </w:pPr>
            <w:r w:rsidRPr="00CF0C7D">
              <w:t>122 (42,4 %)</w:t>
            </w:r>
          </w:p>
        </w:tc>
      </w:tr>
      <w:tr w:rsidR="00EC140D" w:rsidRPr="00CF0C7D" w14:paraId="6E394AD4" w14:textId="77777777" w:rsidTr="007205C3">
        <w:trPr>
          <w:jc w:val="center"/>
        </w:trPr>
        <w:tc>
          <w:tcPr>
            <w:tcW w:w="3870" w:type="dxa"/>
          </w:tcPr>
          <w:p w14:paraId="22413F75" w14:textId="69E4957B" w:rsidR="00EC140D" w:rsidRPr="00CF0C7D" w:rsidRDefault="00EC140D" w:rsidP="00EC140D">
            <w:pPr>
              <w:jc w:val="right"/>
              <w:rPr>
                <w:lang w:eastAsia="en-US"/>
              </w:rPr>
            </w:pPr>
            <w:r w:rsidRPr="00CF0C7D">
              <w:t>Apprentissage</w:t>
            </w:r>
          </w:p>
        </w:tc>
        <w:tc>
          <w:tcPr>
            <w:tcW w:w="2096" w:type="dxa"/>
          </w:tcPr>
          <w:p w14:paraId="3C2C2CC4" w14:textId="01478C71" w:rsidR="00EC140D" w:rsidRPr="00CF0C7D" w:rsidRDefault="00EC140D" w:rsidP="00EC140D">
            <w:pPr>
              <w:rPr>
                <w:lang w:eastAsia="en-US"/>
              </w:rPr>
            </w:pPr>
            <w:r w:rsidRPr="00CF0C7D">
              <w:t>71 (24,7 %)</w:t>
            </w:r>
          </w:p>
        </w:tc>
      </w:tr>
      <w:tr w:rsidR="00EC140D" w:rsidRPr="00CF0C7D" w14:paraId="789F1B2D" w14:textId="77777777" w:rsidTr="007205C3">
        <w:trPr>
          <w:jc w:val="center"/>
        </w:trPr>
        <w:tc>
          <w:tcPr>
            <w:tcW w:w="3870" w:type="dxa"/>
          </w:tcPr>
          <w:p w14:paraId="26F893D0" w14:textId="24F51623" w:rsidR="00EC140D" w:rsidRPr="00CF0C7D" w:rsidRDefault="00EC140D" w:rsidP="00EC140D">
            <w:pPr>
              <w:jc w:val="right"/>
              <w:rPr>
                <w:lang w:eastAsia="en-US"/>
              </w:rPr>
            </w:pPr>
            <w:r w:rsidRPr="00CF0C7D">
              <w:t xml:space="preserve">Médical   </w:t>
            </w:r>
          </w:p>
        </w:tc>
        <w:tc>
          <w:tcPr>
            <w:tcW w:w="2096" w:type="dxa"/>
          </w:tcPr>
          <w:p w14:paraId="294B6283" w14:textId="695F0535" w:rsidR="00EC140D" w:rsidRPr="00CF0C7D" w:rsidRDefault="00EC140D" w:rsidP="00EC140D">
            <w:pPr>
              <w:rPr>
                <w:lang w:eastAsia="en-US"/>
              </w:rPr>
            </w:pPr>
            <w:r w:rsidRPr="00CF0C7D">
              <w:t>65 (22,6 %)</w:t>
            </w:r>
          </w:p>
        </w:tc>
      </w:tr>
      <w:tr w:rsidR="00EC140D" w:rsidRPr="00CF0C7D" w14:paraId="6B1439EA" w14:textId="77777777" w:rsidTr="007205C3">
        <w:trPr>
          <w:jc w:val="center"/>
        </w:trPr>
        <w:tc>
          <w:tcPr>
            <w:tcW w:w="3870" w:type="dxa"/>
          </w:tcPr>
          <w:p w14:paraId="0AE276DA" w14:textId="305A19E1" w:rsidR="00EC140D" w:rsidRPr="00CF0C7D" w:rsidRDefault="00EC140D" w:rsidP="00EC140D">
            <w:pPr>
              <w:jc w:val="right"/>
              <w:rPr>
                <w:lang w:eastAsia="en-US"/>
              </w:rPr>
            </w:pPr>
            <w:r w:rsidRPr="00CF0C7D">
              <w:t xml:space="preserve">Sensorial  </w:t>
            </w:r>
          </w:p>
        </w:tc>
        <w:tc>
          <w:tcPr>
            <w:tcW w:w="2096" w:type="dxa"/>
          </w:tcPr>
          <w:p w14:paraId="2CF63315" w14:textId="0B9F8C22" w:rsidR="00EC140D" w:rsidRPr="00CF0C7D" w:rsidRDefault="00EC140D" w:rsidP="00EC140D">
            <w:pPr>
              <w:rPr>
                <w:lang w:eastAsia="en-US"/>
              </w:rPr>
            </w:pPr>
            <w:r w:rsidRPr="00CF0C7D">
              <w:t>54 (18,8 %)</w:t>
            </w:r>
          </w:p>
        </w:tc>
      </w:tr>
      <w:tr w:rsidR="00EC140D" w:rsidRPr="00CF0C7D" w14:paraId="1DB9725F" w14:textId="77777777" w:rsidTr="007205C3">
        <w:trPr>
          <w:jc w:val="center"/>
        </w:trPr>
        <w:tc>
          <w:tcPr>
            <w:tcW w:w="3870" w:type="dxa"/>
          </w:tcPr>
          <w:p w14:paraId="01FEB116" w14:textId="02CF9B18" w:rsidR="00EC140D" w:rsidRPr="00CF0C7D" w:rsidRDefault="00EC140D" w:rsidP="00EC140D">
            <w:pPr>
              <w:jc w:val="right"/>
              <w:rPr>
                <w:lang w:eastAsia="en-US"/>
              </w:rPr>
            </w:pPr>
            <w:r w:rsidRPr="00CF0C7D">
              <w:t xml:space="preserve">Mobilité/agilité    </w:t>
            </w:r>
          </w:p>
        </w:tc>
        <w:tc>
          <w:tcPr>
            <w:tcW w:w="2096" w:type="dxa"/>
          </w:tcPr>
          <w:p w14:paraId="22DC3BD6" w14:textId="717D97AC" w:rsidR="00EC140D" w:rsidRPr="00CF0C7D" w:rsidRDefault="00EC140D" w:rsidP="00EC140D">
            <w:pPr>
              <w:rPr>
                <w:lang w:eastAsia="en-US"/>
              </w:rPr>
            </w:pPr>
            <w:r w:rsidRPr="00CF0C7D">
              <w:t>47 (16,3 %)</w:t>
            </w:r>
          </w:p>
        </w:tc>
      </w:tr>
      <w:tr w:rsidR="00EC140D" w:rsidRPr="00CF0C7D" w14:paraId="42B6F604" w14:textId="77777777" w:rsidTr="007205C3">
        <w:trPr>
          <w:jc w:val="center"/>
        </w:trPr>
        <w:tc>
          <w:tcPr>
            <w:tcW w:w="3870" w:type="dxa"/>
          </w:tcPr>
          <w:p w14:paraId="6889A147" w14:textId="38FE9584" w:rsidR="00EC140D" w:rsidRPr="00CF0C7D" w:rsidRDefault="00985594" w:rsidP="00EC140D">
            <w:pPr>
              <w:jc w:val="right"/>
              <w:rPr>
                <w:lang w:eastAsia="en-US"/>
              </w:rPr>
            </w:pPr>
            <w:r w:rsidRPr="00CF0C7D">
              <w:t>Développement</w:t>
            </w:r>
          </w:p>
        </w:tc>
        <w:tc>
          <w:tcPr>
            <w:tcW w:w="2096" w:type="dxa"/>
          </w:tcPr>
          <w:p w14:paraId="02FD190F" w14:textId="48807A75" w:rsidR="00EC140D" w:rsidRPr="00CF0C7D" w:rsidRDefault="00EC140D" w:rsidP="00EC140D">
            <w:pPr>
              <w:rPr>
                <w:lang w:eastAsia="en-US"/>
              </w:rPr>
            </w:pPr>
            <w:r w:rsidRPr="00CF0C7D">
              <w:t>41 (14,2 %)</w:t>
            </w:r>
          </w:p>
        </w:tc>
      </w:tr>
      <w:tr w:rsidR="00EC140D" w:rsidRPr="00CF0C7D" w14:paraId="79D2F73A" w14:textId="77777777" w:rsidTr="007205C3">
        <w:trPr>
          <w:jc w:val="center"/>
        </w:trPr>
        <w:tc>
          <w:tcPr>
            <w:tcW w:w="3870" w:type="dxa"/>
          </w:tcPr>
          <w:p w14:paraId="357C2311" w14:textId="7D68E51D" w:rsidR="00EC140D" w:rsidRPr="00CF0C7D" w:rsidRDefault="00EC140D" w:rsidP="00EC140D">
            <w:pPr>
              <w:jc w:val="right"/>
              <w:rPr>
                <w:lang w:eastAsia="en-US"/>
              </w:rPr>
            </w:pPr>
            <w:r w:rsidRPr="00CF0C7D">
              <w:t xml:space="preserve">Communication   </w:t>
            </w:r>
          </w:p>
        </w:tc>
        <w:tc>
          <w:tcPr>
            <w:tcW w:w="2096" w:type="dxa"/>
          </w:tcPr>
          <w:p w14:paraId="765A1B37" w14:textId="520349B4" w:rsidR="00EC140D" w:rsidRPr="00CF0C7D" w:rsidRDefault="00EC140D" w:rsidP="00EC140D">
            <w:pPr>
              <w:rPr>
                <w:lang w:eastAsia="en-US"/>
              </w:rPr>
            </w:pPr>
            <w:r w:rsidRPr="00CF0C7D">
              <w:t>28 (9,7 %)</w:t>
            </w:r>
          </w:p>
        </w:tc>
      </w:tr>
      <w:tr w:rsidR="00EC140D" w:rsidRPr="00CF0C7D" w14:paraId="3BE318DF" w14:textId="77777777" w:rsidTr="007205C3">
        <w:trPr>
          <w:jc w:val="center"/>
        </w:trPr>
        <w:tc>
          <w:tcPr>
            <w:tcW w:w="3870" w:type="dxa"/>
          </w:tcPr>
          <w:p w14:paraId="418E1DC3" w14:textId="14FBC1E0" w:rsidR="00EC140D" w:rsidRPr="00CF0C7D" w:rsidRDefault="00EC140D" w:rsidP="00EC140D">
            <w:pPr>
              <w:jc w:val="right"/>
              <w:rPr>
                <w:lang w:eastAsia="en-US"/>
              </w:rPr>
            </w:pPr>
            <w:r w:rsidRPr="00CF0C7D">
              <w:t xml:space="preserve">Motricité/dextérité    </w:t>
            </w:r>
          </w:p>
        </w:tc>
        <w:tc>
          <w:tcPr>
            <w:tcW w:w="2096" w:type="dxa"/>
          </w:tcPr>
          <w:p w14:paraId="04188641" w14:textId="632F67AA" w:rsidR="00EC140D" w:rsidRPr="00CF0C7D" w:rsidRDefault="00EC140D" w:rsidP="00EC140D">
            <w:pPr>
              <w:rPr>
                <w:lang w:eastAsia="en-US"/>
              </w:rPr>
            </w:pPr>
            <w:r w:rsidRPr="00CF0C7D">
              <w:t>24 (8,3 %)</w:t>
            </w:r>
          </w:p>
        </w:tc>
      </w:tr>
      <w:tr w:rsidR="00EC140D" w:rsidRPr="00CF0C7D" w14:paraId="18F1CFF0" w14:textId="77777777" w:rsidTr="007205C3">
        <w:trPr>
          <w:jc w:val="center"/>
        </w:trPr>
        <w:tc>
          <w:tcPr>
            <w:tcW w:w="3870" w:type="dxa"/>
          </w:tcPr>
          <w:p w14:paraId="141DCE39" w14:textId="37E7A3D1" w:rsidR="00EC140D" w:rsidRPr="00CF0C7D" w:rsidRDefault="00EC140D" w:rsidP="00EC140D">
            <w:pPr>
              <w:jc w:val="right"/>
              <w:rPr>
                <w:lang w:eastAsia="en-US"/>
              </w:rPr>
            </w:pPr>
            <w:r w:rsidRPr="00CF0C7D">
              <w:t xml:space="preserve">Intellectuel   </w:t>
            </w:r>
          </w:p>
        </w:tc>
        <w:tc>
          <w:tcPr>
            <w:tcW w:w="2096" w:type="dxa"/>
          </w:tcPr>
          <w:p w14:paraId="567D1DEC" w14:textId="4C845581" w:rsidR="00EC140D" w:rsidRPr="00CF0C7D" w:rsidRDefault="00EC140D" w:rsidP="00EC140D">
            <w:pPr>
              <w:rPr>
                <w:lang w:eastAsia="en-US"/>
              </w:rPr>
            </w:pPr>
            <w:r w:rsidRPr="00CF0C7D">
              <w:t>22 (7,6 %)</w:t>
            </w:r>
          </w:p>
        </w:tc>
      </w:tr>
      <w:tr w:rsidR="00EC140D" w:rsidRPr="00CF0C7D" w14:paraId="445E8259" w14:textId="77777777" w:rsidTr="007205C3">
        <w:trPr>
          <w:jc w:val="center"/>
        </w:trPr>
        <w:tc>
          <w:tcPr>
            <w:tcW w:w="3870" w:type="dxa"/>
            <w:tcBorders>
              <w:bottom w:val="single" w:sz="4" w:space="0" w:color="auto"/>
            </w:tcBorders>
          </w:tcPr>
          <w:p w14:paraId="6DA01864" w14:textId="75EBA4F2" w:rsidR="00EC140D" w:rsidRPr="00CF0C7D" w:rsidRDefault="00EC140D" w:rsidP="00EC140D">
            <w:pPr>
              <w:jc w:val="right"/>
              <w:rPr>
                <w:lang w:eastAsia="en-US"/>
              </w:rPr>
            </w:pPr>
            <w:r w:rsidRPr="00CF0C7D">
              <w:t xml:space="preserve">Autre   </w:t>
            </w:r>
          </w:p>
        </w:tc>
        <w:tc>
          <w:tcPr>
            <w:tcW w:w="2096" w:type="dxa"/>
            <w:tcBorders>
              <w:bottom w:val="single" w:sz="4" w:space="0" w:color="auto"/>
            </w:tcBorders>
          </w:tcPr>
          <w:p w14:paraId="31D49B81" w14:textId="27D63D99" w:rsidR="00EC140D" w:rsidRPr="00CF0C7D" w:rsidRDefault="00EC140D" w:rsidP="00EC140D">
            <w:pPr>
              <w:rPr>
                <w:lang w:eastAsia="en-US"/>
              </w:rPr>
            </w:pPr>
            <w:r w:rsidRPr="00CF0C7D">
              <w:t>11 (3,8 %)</w:t>
            </w:r>
          </w:p>
        </w:tc>
      </w:tr>
    </w:tbl>
    <w:p w14:paraId="5A7F8B36" w14:textId="77777777" w:rsidR="00CD6435" w:rsidRPr="00CF0C7D" w:rsidRDefault="00CD6435" w:rsidP="005F6861">
      <w:pPr>
        <w:rPr>
          <w:highlight w:val="yellow"/>
          <w:lang w:eastAsia="en-US"/>
        </w:rPr>
      </w:pPr>
    </w:p>
    <w:p w14:paraId="36F13C81" w14:textId="7443B228" w:rsidR="00675682" w:rsidRPr="00CF0C7D" w:rsidRDefault="003E1608" w:rsidP="005F6861">
      <w:pPr>
        <w:rPr>
          <w:lang w:eastAsia="en-US"/>
        </w:rPr>
      </w:pPr>
      <w:r w:rsidRPr="00CF0C7D">
        <w:rPr>
          <w:lang w:eastAsia="en-US"/>
        </w:rPr>
        <w:t xml:space="preserve">Plus de la moitié des participants (159; 55,2 %) ont déclaré qu’au moins un de leurs handicaps était </w:t>
      </w:r>
      <w:r w:rsidR="0045247B">
        <w:rPr>
          <w:lang w:eastAsia="en-US"/>
        </w:rPr>
        <w:t>non apparent</w:t>
      </w:r>
      <w:r w:rsidRPr="00CF0C7D">
        <w:rPr>
          <w:lang w:eastAsia="en-US"/>
        </w:rPr>
        <w:t xml:space="preserve"> (c’est-à-dire non facilement perceptible par les autres). Environ un quart (79; 27,4 %) ont déclaré avoir un </w:t>
      </w:r>
      <w:r w:rsidR="0045247B">
        <w:rPr>
          <w:lang w:eastAsia="en-US"/>
        </w:rPr>
        <w:t>handicap apparent</w:t>
      </w:r>
      <w:r w:rsidRPr="00CF0C7D">
        <w:rPr>
          <w:lang w:eastAsia="en-US"/>
        </w:rPr>
        <w:t>. Environ un participant sur cinq (57; 19,8 %) présentait au moins un handicap de nature épisodique ou fluctuante. Plus d’un tiers (116; 40,3 %) des participants présentaient des handicaps multiples.</w:t>
      </w:r>
    </w:p>
    <w:p w14:paraId="01410E38" w14:textId="346EB724" w:rsidR="005D57A0" w:rsidRPr="00CF0C7D" w:rsidRDefault="00EA02BA" w:rsidP="00E537FF">
      <w:pPr>
        <w:pStyle w:val="Heading4"/>
        <w:rPr>
          <w:lang w:eastAsia="en-US"/>
        </w:rPr>
      </w:pPr>
      <w:r w:rsidRPr="00CF0C7D">
        <w:rPr>
          <w:lang w:eastAsia="en-US"/>
        </w:rPr>
        <w:t>Éducation</w:t>
      </w:r>
    </w:p>
    <w:p w14:paraId="6AE83F70" w14:textId="77777777" w:rsidR="00E504AF" w:rsidRPr="00CF0C7D" w:rsidRDefault="00E504AF" w:rsidP="00E504AF">
      <w:pPr>
        <w:rPr>
          <w:lang w:eastAsia="en-US"/>
        </w:rPr>
      </w:pPr>
      <w:r w:rsidRPr="00CF0C7D">
        <w:rPr>
          <w:lang w:eastAsia="en-US"/>
        </w:rPr>
        <w:t>La majorité des participants étaient des étudiants canadiens (241; 83,7 %). La plupart ont indiqué qu’ils vivaient soit en milieu urbain (68; 37,4 %), soit en banlieue (134; 46,5 %) pendant leurs études; 22 vivaient dans des régions rurales ou éloignées (7,6 %).</w:t>
      </w:r>
    </w:p>
    <w:p w14:paraId="07FA4ADB" w14:textId="6AD6A239" w:rsidR="005D57A0" w:rsidRPr="00CF0C7D" w:rsidRDefault="00E504AF" w:rsidP="00E504AF">
      <w:pPr>
        <w:rPr>
          <w:lang w:eastAsia="en-US"/>
        </w:rPr>
      </w:pPr>
      <w:r w:rsidRPr="00CF0C7D">
        <w:rPr>
          <w:lang w:eastAsia="en-US"/>
        </w:rPr>
        <w:lastRenderedPageBreak/>
        <w:t>La plupart des participants étaient des étudiants universitaires, plus des quatre cinquièmes d’entre eux (234; 81,3 %) ayant indiqué qu’ils suivaient un programme de baccalauréat de quatre ans (204; 70,8 %) ou de trois ans (30; 10,4 %). Les autres participants suivaient un programme menant à un diplôme d’études collégiales (32; 11,1 %), à un certificat d’études collégiales (7; 24,3 %) ou à un autre type de programme (13; 4,5 %).</w:t>
      </w:r>
    </w:p>
    <w:p w14:paraId="42EB0670" w14:textId="633AC77C" w:rsidR="00AF3AB3" w:rsidRPr="00CF0C7D" w:rsidRDefault="00E504AF" w:rsidP="00E537FF">
      <w:pPr>
        <w:pStyle w:val="Heading3"/>
      </w:pPr>
      <w:r w:rsidRPr="00CF0C7D">
        <w:t>Caractéristiques des participants au suivi</w:t>
      </w:r>
    </w:p>
    <w:p w14:paraId="1101E5FD" w14:textId="2DAA58CF" w:rsidR="008D093B" w:rsidRPr="00CF0C7D" w:rsidRDefault="00E504AF" w:rsidP="00E537FF">
      <w:pPr>
        <w:pStyle w:val="Heading4"/>
      </w:pPr>
      <w:r w:rsidRPr="00CF0C7D">
        <w:t>Données démographiques</w:t>
      </w:r>
    </w:p>
    <w:p w14:paraId="571AE827" w14:textId="7893FF7E" w:rsidR="00A4542F" w:rsidRPr="00CF0C7D" w:rsidRDefault="002042C2" w:rsidP="008D093B">
      <w:r w:rsidRPr="00CF0C7D">
        <w:t>Les caractéristiques de l’échantillon de suivi étaient globalement comparables à celles de l’échantillon initial. L’âge moyen des participants était de 24,35 ans, avec une fourchette allant de 18 à 46 ans. Toutefois, un seul participant avait plus de 30 ans. Les femmes étaient légèrement surreprésentées : 26 participants (61,90 %) s’identifiaient comme des femmes, 9 (21,42 %) comme des hommes, 6 comme non binaires et un participant préférait définir lui-même son genre (</w:t>
      </w:r>
      <w:r w:rsidR="006F2E7D" w:rsidRPr="006F2E7D">
        <w:t>«</w:t>
      </w:r>
      <w:r w:rsidR="006F2E7D">
        <w:t xml:space="preserve"> genderqueer</w:t>
      </w:r>
      <w:r w:rsidR="006F2E7D" w:rsidRPr="006F2E7D">
        <w:t xml:space="preserve"> »</w:t>
      </w:r>
      <w:r w:rsidRPr="00CF0C7D">
        <w:t>). Vingt et un participants, soit la moitié (50 %), se sont identifiés comme membres de la communauté 2SLGBTQ+; un a refusé de répondre. Un tiers des participants (14, soit 33,3 %) appartenaient à un groupe racialisé. Le statut socio-économique (SSE) perçu moyen à l’école (M = 5,7) et au Canada (5,4) correspondait à peu près à celui de la classe moyenne.</w:t>
      </w:r>
    </w:p>
    <w:p w14:paraId="0C02405E" w14:textId="47DFDBFB" w:rsidR="008D093B" w:rsidRPr="00CF0C7D" w:rsidRDefault="007354AB" w:rsidP="00E537FF">
      <w:pPr>
        <w:pStyle w:val="Heading4"/>
      </w:pPr>
      <w:r w:rsidRPr="00CF0C7D">
        <w:t>Handicap</w:t>
      </w:r>
    </w:p>
    <w:p w14:paraId="3D9208AD" w14:textId="730E5419" w:rsidR="007354AB" w:rsidRPr="00CF0C7D" w:rsidRDefault="007354AB" w:rsidP="0081006F">
      <w:r w:rsidRPr="00CF0C7D">
        <w:t xml:space="preserve">Les caractéristiques liées au handicap étaient également comparables à celles de l’échantillon initial, la santé mentale et/ou </w:t>
      </w:r>
      <w:r w:rsidR="00E74A8A">
        <w:t>à l’usage de substances</w:t>
      </w:r>
      <w:r w:rsidR="0045247B">
        <w:t xml:space="preserve"> </w:t>
      </w:r>
      <w:r w:rsidRPr="00CF0C7D">
        <w:t>constituant le type de handicap le plus fréquemment signalé. Cependant, la proportion de participants déclarant un</w:t>
      </w:r>
      <w:r w:rsidR="0045247B">
        <w:t xml:space="preserve"> handicap</w:t>
      </w:r>
      <w:r w:rsidRPr="00CF0C7D">
        <w:t xml:space="preserve"> d’apprentissage dans l’échantillon de suivi a doublé, et celle déclarant </w:t>
      </w:r>
      <w:r w:rsidR="006F2E7D" w:rsidRPr="00CF0C7D">
        <w:t>un handicap intellectuel</w:t>
      </w:r>
      <w:r w:rsidRPr="00CF0C7D">
        <w:t xml:space="preserve"> a presque doublé. À l’inverse, la proportion de participants déclarant un handicap moteur ou de dextérité a diminué de moitié, et celle déclarant un handicap lié à la mobilité ou à l’agilité a presque diminué de moitié. Le tableau ci-dessous présente le nombre et la proportion d’étudiants déclarant chaque type de handicap.</w:t>
      </w:r>
    </w:p>
    <w:p w14:paraId="25D11F3D" w14:textId="261B8B3D" w:rsidR="00337241" w:rsidRPr="00CF0C7D" w:rsidRDefault="007354AB" w:rsidP="0081006F">
      <w:r w:rsidRPr="00CF0C7D">
        <w:t>Tableau 2. Types de handicap déclarés par les participants lors du suivi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2. Types de handicap déclarés par les participants lors du suivi"/>
        <w:tblDescription w:val="Tableau à deux colonnes présentant les types de handicap signalés lors du suivi, ainsi que le nombre et le pourcentage de participants dans chaque catégorie. La santé mentale constituent la catégorie la plus courante (23, soit 54,8 %), suivie des handicaps d’apprentissage (21, soit 50,0 %), des handicaps médicaux (14, soit 33,3 %), des handicaps développemental (10, soit 23,8 %), des handicaps sensoriels (6, soit 14,3 %), les handicaps de la mobilité/agilité et les troubles intellectuels (4, 9,5 % chacun), les handicaps de la communication (3, 7,1 %), ainsi que les handicaps moteurs/de dextérité et autres (2, 4,8 % chacun)."/>
      </w:tblPr>
      <w:tblGrid>
        <w:gridCol w:w="3870"/>
        <w:gridCol w:w="2096"/>
      </w:tblGrid>
      <w:tr w:rsidR="00A4542F" w:rsidRPr="00CF0C7D" w14:paraId="617EA162" w14:textId="77777777" w:rsidTr="007A3644">
        <w:trPr>
          <w:jc w:val="center"/>
        </w:trPr>
        <w:tc>
          <w:tcPr>
            <w:tcW w:w="3870" w:type="dxa"/>
            <w:tcBorders>
              <w:top w:val="single" w:sz="4" w:space="0" w:color="auto"/>
              <w:bottom w:val="single" w:sz="4" w:space="0" w:color="auto"/>
            </w:tcBorders>
          </w:tcPr>
          <w:p w14:paraId="0C0CF1FF" w14:textId="3F3DB0BB" w:rsidR="00A4542F" w:rsidRPr="00CF0C7D" w:rsidRDefault="006769B9" w:rsidP="007A3644">
            <w:pPr>
              <w:jc w:val="right"/>
              <w:rPr>
                <w:b/>
                <w:bCs/>
                <w:lang w:eastAsia="en-US"/>
              </w:rPr>
            </w:pPr>
            <w:r w:rsidRPr="00CF0C7D">
              <w:rPr>
                <w:b/>
                <w:bCs/>
                <w:lang w:eastAsia="en-US"/>
              </w:rPr>
              <w:t>Type de handicap</w:t>
            </w:r>
          </w:p>
        </w:tc>
        <w:tc>
          <w:tcPr>
            <w:tcW w:w="2096" w:type="dxa"/>
            <w:tcBorders>
              <w:top w:val="single" w:sz="4" w:space="0" w:color="auto"/>
              <w:bottom w:val="single" w:sz="4" w:space="0" w:color="auto"/>
            </w:tcBorders>
          </w:tcPr>
          <w:p w14:paraId="67AC8BDE" w14:textId="77777777" w:rsidR="00A4542F" w:rsidRPr="00CF0C7D" w:rsidRDefault="00A4542F" w:rsidP="007A3644">
            <w:pPr>
              <w:rPr>
                <w:b/>
                <w:bCs/>
                <w:lang w:eastAsia="en-US"/>
              </w:rPr>
            </w:pPr>
          </w:p>
        </w:tc>
      </w:tr>
      <w:tr w:rsidR="007354AB" w:rsidRPr="00CF0C7D" w14:paraId="7E374195" w14:textId="77777777" w:rsidTr="007A3644">
        <w:trPr>
          <w:jc w:val="center"/>
        </w:trPr>
        <w:tc>
          <w:tcPr>
            <w:tcW w:w="3870" w:type="dxa"/>
            <w:tcBorders>
              <w:top w:val="single" w:sz="4" w:space="0" w:color="auto"/>
            </w:tcBorders>
          </w:tcPr>
          <w:p w14:paraId="52020F5B" w14:textId="03A58F71" w:rsidR="007354AB" w:rsidRPr="00CF0C7D" w:rsidRDefault="007354AB" w:rsidP="007354AB">
            <w:pPr>
              <w:jc w:val="right"/>
              <w:rPr>
                <w:lang w:eastAsia="en-US"/>
              </w:rPr>
            </w:pPr>
            <w:r w:rsidRPr="00CF0C7D">
              <w:t xml:space="preserve">Santé mentale et/ou </w:t>
            </w:r>
            <w:r w:rsidR="00E74A8A">
              <w:t>à l’usage de substances</w:t>
            </w:r>
            <w:r w:rsidRPr="00CF0C7D">
              <w:t xml:space="preserve">    </w:t>
            </w:r>
          </w:p>
        </w:tc>
        <w:tc>
          <w:tcPr>
            <w:tcW w:w="2096" w:type="dxa"/>
            <w:tcBorders>
              <w:top w:val="single" w:sz="4" w:space="0" w:color="auto"/>
            </w:tcBorders>
          </w:tcPr>
          <w:p w14:paraId="3413FF55" w14:textId="7AD7F868" w:rsidR="007354AB" w:rsidRPr="00CF0C7D" w:rsidRDefault="007354AB" w:rsidP="007354AB">
            <w:pPr>
              <w:rPr>
                <w:lang w:eastAsia="en-US"/>
              </w:rPr>
            </w:pPr>
            <w:r w:rsidRPr="00CF0C7D">
              <w:rPr>
                <w:lang w:eastAsia="en-US"/>
              </w:rPr>
              <w:t>23 (54,8 %)</w:t>
            </w:r>
          </w:p>
        </w:tc>
      </w:tr>
      <w:tr w:rsidR="007354AB" w:rsidRPr="00CF0C7D" w14:paraId="7F50E15A" w14:textId="77777777" w:rsidTr="007A3644">
        <w:trPr>
          <w:jc w:val="center"/>
        </w:trPr>
        <w:tc>
          <w:tcPr>
            <w:tcW w:w="3870" w:type="dxa"/>
          </w:tcPr>
          <w:p w14:paraId="28DBEBF0" w14:textId="4D0C6DCF" w:rsidR="007354AB" w:rsidRPr="00CF0C7D" w:rsidRDefault="007354AB" w:rsidP="007354AB">
            <w:pPr>
              <w:jc w:val="right"/>
              <w:rPr>
                <w:lang w:eastAsia="en-US"/>
              </w:rPr>
            </w:pPr>
            <w:r w:rsidRPr="00CF0C7D">
              <w:t>Apprentissage</w:t>
            </w:r>
          </w:p>
        </w:tc>
        <w:tc>
          <w:tcPr>
            <w:tcW w:w="2096" w:type="dxa"/>
          </w:tcPr>
          <w:p w14:paraId="17F724F1" w14:textId="054C7EAB" w:rsidR="007354AB" w:rsidRPr="00CF0C7D" w:rsidRDefault="007354AB" w:rsidP="007354AB">
            <w:pPr>
              <w:rPr>
                <w:lang w:eastAsia="en-US"/>
              </w:rPr>
            </w:pPr>
            <w:r w:rsidRPr="00CF0C7D">
              <w:rPr>
                <w:lang w:eastAsia="en-US"/>
              </w:rPr>
              <w:t>21 (50,0 %)</w:t>
            </w:r>
          </w:p>
        </w:tc>
      </w:tr>
      <w:tr w:rsidR="007354AB" w:rsidRPr="00CF0C7D" w14:paraId="7CDBB2AB" w14:textId="77777777" w:rsidTr="007A3644">
        <w:trPr>
          <w:jc w:val="center"/>
        </w:trPr>
        <w:tc>
          <w:tcPr>
            <w:tcW w:w="3870" w:type="dxa"/>
          </w:tcPr>
          <w:p w14:paraId="5CE2358D" w14:textId="7A9AF194" w:rsidR="007354AB" w:rsidRPr="00CF0C7D" w:rsidRDefault="007354AB" w:rsidP="007354AB">
            <w:pPr>
              <w:jc w:val="right"/>
              <w:rPr>
                <w:lang w:eastAsia="en-US"/>
              </w:rPr>
            </w:pPr>
            <w:r w:rsidRPr="00CF0C7D">
              <w:t xml:space="preserve">Médical   </w:t>
            </w:r>
          </w:p>
        </w:tc>
        <w:tc>
          <w:tcPr>
            <w:tcW w:w="2096" w:type="dxa"/>
          </w:tcPr>
          <w:p w14:paraId="6D2D45CD" w14:textId="4E489D4A" w:rsidR="007354AB" w:rsidRPr="00CF0C7D" w:rsidRDefault="007354AB" w:rsidP="007354AB">
            <w:pPr>
              <w:rPr>
                <w:lang w:eastAsia="en-US"/>
              </w:rPr>
            </w:pPr>
            <w:r w:rsidRPr="00CF0C7D">
              <w:rPr>
                <w:lang w:eastAsia="en-US"/>
              </w:rPr>
              <w:t>14 (33,3 %)</w:t>
            </w:r>
          </w:p>
        </w:tc>
      </w:tr>
      <w:tr w:rsidR="007354AB" w:rsidRPr="00CF0C7D" w14:paraId="5D1D0599" w14:textId="77777777" w:rsidTr="007A3644">
        <w:trPr>
          <w:jc w:val="center"/>
        </w:trPr>
        <w:tc>
          <w:tcPr>
            <w:tcW w:w="3870" w:type="dxa"/>
          </w:tcPr>
          <w:p w14:paraId="13624B3A" w14:textId="257816A3" w:rsidR="007354AB" w:rsidRPr="00CF0C7D" w:rsidRDefault="007354AB" w:rsidP="007354AB">
            <w:pPr>
              <w:jc w:val="right"/>
              <w:rPr>
                <w:lang w:eastAsia="en-US"/>
              </w:rPr>
            </w:pPr>
            <w:r w:rsidRPr="00CF0C7D">
              <w:t xml:space="preserve">Sensorial  </w:t>
            </w:r>
          </w:p>
        </w:tc>
        <w:tc>
          <w:tcPr>
            <w:tcW w:w="2096" w:type="dxa"/>
          </w:tcPr>
          <w:p w14:paraId="3CECA259" w14:textId="41C85A7E" w:rsidR="007354AB" w:rsidRPr="00CF0C7D" w:rsidRDefault="007354AB" w:rsidP="007354AB">
            <w:pPr>
              <w:rPr>
                <w:lang w:eastAsia="en-US"/>
              </w:rPr>
            </w:pPr>
            <w:r w:rsidRPr="00CF0C7D">
              <w:rPr>
                <w:lang w:eastAsia="en-US"/>
              </w:rPr>
              <w:t>6 (14,3 %)</w:t>
            </w:r>
          </w:p>
        </w:tc>
      </w:tr>
      <w:tr w:rsidR="007354AB" w:rsidRPr="00CF0C7D" w14:paraId="00C5B218" w14:textId="77777777" w:rsidTr="007A3644">
        <w:trPr>
          <w:jc w:val="center"/>
        </w:trPr>
        <w:tc>
          <w:tcPr>
            <w:tcW w:w="3870" w:type="dxa"/>
          </w:tcPr>
          <w:p w14:paraId="3D6CB38C" w14:textId="7AA5BE8B" w:rsidR="007354AB" w:rsidRPr="00CF0C7D" w:rsidRDefault="007354AB" w:rsidP="007354AB">
            <w:pPr>
              <w:jc w:val="right"/>
              <w:rPr>
                <w:lang w:eastAsia="en-US"/>
              </w:rPr>
            </w:pPr>
            <w:r w:rsidRPr="00CF0C7D">
              <w:t xml:space="preserve">Mobilité/agilité    </w:t>
            </w:r>
          </w:p>
        </w:tc>
        <w:tc>
          <w:tcPr>
            <w:tcW w:w="2096" w:type="dxa"/>
          </w:tcPr>
          <w:p w14:paraId="0E30CA18" w14:textId="44D260E5" w:rsidR="007354AB" w:rsidRPr="00CF0C7D" w:rsidRDefault="007354AB" w:rsidP="007354AB">
            <w:pPr>
              <w:rPr>
                <w:lang w:eastAsia="en-US"/>
              </w:rPr>
            </w:pPr>
            <w:r w:rsidRPr="00CF0C7D">
              <w:rPr>
                <w:lang w:eastAsia="en-US"/>
              </w:rPr>
              <w:t>4 (9,5 %)</w:t>
            </w:r>
          </w:p>
        </w:tc>
      </w:tr>
      <w:tr w:rsidR="007354AB" w:rsidRPr="00CF0C7D" w14:paraId="60D70895" w14:textId="77777777" w:rsidTr="007A3644">
        <w:trPr>
          <w:jc w:val="center"/>
        </w:trPr>
        <w:tc>
          <w:tcPr>
            <w:tcW w:w="3870" w:type="dxa"/>
          </w:tcPr>
          <w:p w14:paraId="3B4DFF1D" w14:textId="0BF090DD" w:rsidR="007354AB" w:rsidRPr="00CF0C7D" w:rsidRDefault="00985594" w:rsidP="007354AB">
            <w:pPr>
              <w:jc w:val="right"/>
              <w:rPr>
                <w:lang w:eastAsia="en-US"/>
              </w:rPr>
            </w:pPr>
            <w:r w:rsidRPr="00CF0C7D">
              <w:t>Développement</w:t>
            </w:r>
          </w:p>
        </w:tc>
        <w:tc>
          <w:tcPr>
            <w:tcW w:w="2096" w:type="dxa"/>
          </w:tcPr>
          <w:p w14:paraId="3A40BE73" w14:textId="341746DD" w:rsidR="007354AB" w:rsidRPr="00CF0C7D" w:rsidRDefault="007354AB" w:rsidP="007354AB">
            <w:pPr>
              <w:rPr>
                <w:lang w:eastAsia="en-US"/>
              </w:rPr>
            </w:pPr>
            <w:r w:rsidRPr="00CF0C7D">
              <w:rPr>
                <w:lang w:eastAsia="en-US"/>
              </w:rPr>
              <w:t>10 (23,8 %)</w:t>
            </w:r>
          </w:p>
        </w:tc>
      </w:tr>
      <w:tr w:rsidR="007354AB" w:rsidRPr="00CF0C7D" w14:paraId="2D76A22F" w14:textId="77777777" w:rsidTr="007A3644">
        <w:trPr>
          <w:jc w:val="center"/>
        </w:trPr>
        <w:tc>
          <w:tcPr>
            <w:tcW w:w="3870" w:type="dxa"/>
          </w:tcPr>
          <w:p w14:paraId="34712EEC" w14:textId="4DB6DD22" w:rsidR="007354AB" w:rsidRPr="00CF0C7D" w:rsidRDefault="007354AB" w:rsidP="007354AB">
            <w:pPr>
              <w:jc w:val="right"/>
              <w:rPr>
                <w:lang w:eastAsia="en-US"/>
              </w:rPr>
            </w:pPr>
            <w:r w:rsidRPr="00CF0C7D">
              <w:t xml:space="preserve">Communication   </w:t>
            </w:r>
          </w:p>
        </w:tc>
        <w:tc>
          <w:tcPr>
            <w:tcW w:w="2096" w:type="dxa"/>
          </w:tcPr>
          <w:p w14:paraId="7521D1B2" w14:textId="601D1663" w:rsidR="007354AB" w:rsidRPr="00CF0C7D" w:rsidRDefault="007354AB" w:rsidP="007354AB">
            <w:pPr>
              <w:rPr>
                <w:lang w:eastAsia="en-US"/>
              </w:rPr>
            </w:pPr>
            <w:r w:rsidRPr="00CF0C7D">
              <w:rPr>
                <w:lang w:eastAsia="en-US"/>
              </w:rPr>
              <w:t>3 (7,1 %)</w:t>
            </w:r>
          </w:p>
        </w:tc>
      </w:tr>
      <w:tr w:rsidR="007354AB" w:rsidRPr="00CF0C7D" w14:paraId="66514739" w14:textId="77777777" w:rsidTr="007A3644">
        <w:trPr>
          <w:jc w:val="center"/>
        </w:trPr>
        <w:tc>
          <w:tcPr>
            <w:tcW w:w="3870" w:type="dxa"/>
          </w:tcPr>
          <w:p w14:paraId="3B38BD1E" w14:textId="0389753E" w:rsidR="007354AB" w:rsidRPr="00CF0C7D" w:rsidRDefault="007354AB" w:rsidP="007354AB">
            <w:pPr>
              <w:jc w:val="right"/>
              <w:rPr>
                <w:lang w:eastAsia="en-US"/>
              </w:rPr>
            </w:pPr>
            <w:r w:rsidRPr="00CF0C7D">
              <w:t xml:space="preserve">Motricité/dextérité    </w:t>
            </w:r>
          </w:p>
        </w:tc>
        <w:tc>
          <w:tcPr>
            <w:tcW w:w="2096" w:type="dxa"/>
          </w:tcPr>
          <w:p w14:paraId="0ABBEBC9" w14:textId="12C1E77E" w:rsidR="007354AB" w:rsidRPr="00CF0C7D" w:rsidRDefault="007354AB" w:rsidP="007354AB">
            <w:pPr>
              <w:rPr>
                <w:lang w:eastAsia="en-US"/>
              </w:rPr>
            </w:pPr>
            <w:r w:rsidRPr="00CF0C7D">
              <w:rPr>
                <w:lang w:eastAsia="en-US"/>
              </w:rPr>
              <w:t>2 (4,8 %)</w:t>
            </w:r>
          </w:p>
        </w:tc>
      </w:tr>
      <w:tr w:rsidR="007354AB" w:rsidRPr="00CF0C7D" w14:paraId="408E45E2" w14:textId="77777777" w:rsidTr="007A3644">
        <w:trPr>
          <w:jc w:val="center"/>
        </w:trPr>
        <w:tc>
          <w:tcPr>
            <w:tcW w:w="3870" w:type="dxa"/>
          </w:tcPr>
          <w:p w14:paraId="5726414E" w14:textId="44CC607F" w:rsidR="007354AB" w:rsidRPr="00CF0C7D" w:rsidRDefault="007354AB" w:rsidP="007354AB">
            <w:pPr>
              <w:jc w:val="right"/>
              <w:rPr>
                <w:lang w:eastAsia="en-US"/>
              </w:rPr>
            </w:pPr>
            <w:r w:rsidRPr="00CF0C7D">
              <w:t xml:space="preserve">Intellectuel   </w:t>
            </w:r>
          </w:p>
        </w:tc>
        <w:tc>
          <w:tcPr>
            <w:tcW w:w="2096" w:type="dxa"/>
          </w:tcPr>
          <w:p w14:paraId="71A420E1" w14:textId="546E0F61" w:rsidR="007354AB" w:rsidRPr="00CF0C7D" w:rsidRDefault="007354AB" w:rsidP="007354AB">
            <w:pPr>
              <w:rPr>
                <w:lang w:eastAsia="en-US"/>
              </w:rPr>
            </w:pPr>
            <w:r w:rsidRPr="00CF0C7D">
              <w:rPr>
                <w:lang w:eastAsia="en-US"/>
              </w:rPr>
              <w:t>4 (9,5 %)</w:t>
            </w:r>
          </w:p>
        </w:tc>
      </w:tr>
      <w:tr w:rsidR="007354AB" w:rsidRPr="00CF0C7D" w14:paraId="57018E39" w14:textId="77777777" w:rsidTr="007A3644">
        <w:trPr>
          <w:jc w:val="center"/>
        </w:trPr>
        <w:tc>
          <w:tcPr>
            <w:tcW w:w="3870" w:type="dxa"/>
            <w:tcBorders>
              <w:bottom w:val="single" w:sz="4" w:space="0" w:color="auto"/>
            </w:tcBorders>
          </w:tcPr>
          <w:p w14:paraId="2D1BC98B" w14:textId="39D7963B" w:rsidR="007354AB" w:rsidRPr="00CF0C7D" w:rsidRDefault="007354AB" w:rsidP="007354AB">
            <w:pPr>
              <w:jc w:val="right"/>
              <w:rPr>
                <w:lang w:eastAsia="en-US"/>
              </w:rPr>
            </w:pPr>
            <w:r w:rsidRPr="00CF0C7D">
              <w:t xml:space="preserve">Autre   </w:t>
            </w:r>
          </w:p>
        </w:tc>
        <w:tc>
          <w:tcPr>
            <w:tcW w:w="2096" w:type="dxa"/>
            <w:tcBorders>
              <w:bottom w:val="single" w:sz="4" w:space="0" w:color="auto"/>
            </w:tcBorders>
          </w:tcPr>
          <w:p w14:paraId="1E0F9631" w14:textId="79D952C7" w:rsidR="007354AB" w:rsidRPr="00CF0C7D" w:rsidRDefault="007354AB" w:rsidP="007354AB">
            <w:pPr>
              <w:rPr>
                <w:lang w:eastAsia="en-US"/>
              </w:rPr>
            </w:pPr>
            <w:r w:rsidRPr="00CF0C7D">
              <w:rPr>
                <w:lang w:eastAsia="en-US"/>
              </w:rPr>
              <w:t>2 (4,8 %)</w:t>
            </w:r>
          </w:p>
        </w:tc>
      </w:tr>
    </w:tbl>
    <w:p w14:paraId="1E7510A9" w14:textId="77777777" w:rsidR="00A4542F" w:rsidRPr="00CF0C7D" w:rsidRDefault="00A4542F" w:rsidP="0081006F"/>
    <w:p w14:paraId="58844884" w14:textId="50D60E30" w:rsidR="00A4542F" w:rsidRPr="00CF0C7D" w:rsidRDefault="00985594" w:rsidP="0081006F">
      <w:pPr>
        <w:rPr>
          <w:lang w:eastAsia="en-US"/>
        </w:rPr>
      </w:pPr>
      <w:r w:rsidRPr="00CF0C7D">
        <w:rPr>
          <w:lang w:eastAsia="en-US"/>
        </w:rPr>
        <w:lastRenderedPageBreak/>
        <w:t xml:space="preserve">Plus de la moitié des participants (25; 59,5 %) présentaient des handicaps multiples; une augmentation de la proportion par rapport à l’échantillon de référence. La plupart (31; 73,8 %) ont déclaré qu’au moins un de leurs handicaps était </w:t>
      </w:r>
      <w:r w:rsidR="0045247B">
        <w:rPr>
          <w:lang w:eastAsia="en-US"/>
        </w:rPr>
        <w:t>non apparent</w:t>
      </w:r>
      <w:r w:rsidRPr="00CF0C7D">
        <w:rPr>
          <w:lang w:eastAsia="en-US"/>
        </w:rPr>
        <w:t xml:space="preserve"> (c’est-à-dire non facilement perceptible par les autres). Environ un participant sur cinq (9; 21,4 %) présentait au moins un handicap de nature épisodique ou fluctuante.</w:t>
      </w:r>
    </w:p>
    <w:p w14:paraId="1AF9079A" w14:textId="05359EDE" w:rsidR="00A4542F" w:rsidRPr="00CF0C7D" w:rsidRDefault="00EA02BA" w:rsidP="00E537FF">
      <w:pPr>
        <w:pStyle w:val="Heading4"/>
      </w:pPr>
      <w:r w:rsidRPr="00CF0C7D">
        <w:t>Éducation</w:t>
      </w:r>
    </w:p>
    <w:p w14:paraId="4D3B673E" w14:textId="77777777" w:rsidR="006E2B97" w:rsidRPr="00CF0C7D" w:rsidRDefault="006E2B97" w:rsidP="006E2B97">
      <w:pPr>
        <w:rPr>
          <w:lang w:eastAsia="en-US"/>
        </w:rPr>
      </w:pPr>
      <w:r w:rsidRPr="00CF0C7D">
        <w:rPr>
          <w:lang w:eastAsia="en-US"/>
        </w:rPr>
        <w:t>À l’instar de l’échantillon de référence, presque tous les participants étaient des étudiants résidant au pays (40; 95,2 %). La plupart vivaient soit en milieu urbain (14; 33,3 %), soit en banlieue (22; 52,4 %) pendant leurs études; 6 vivaient dans des régions rurales ou éloignées (14,3 %), soit environ le double de la proportion de personnes vivant en milieu rural dans l’échantillon de référence.</w:t>
      </w:r>
    </w:p>
    <w:p w14:paraId="5122F232" w14:textId="15B0977E" w:rsidR="00A4542F" w:rsidRPr="00CF0C7D" w:rsidRDefault="006E2B97" w:rsidP="006E2B97">
      <w:pPr>
        <w:rPr>
          <w:lang w:eastAsia="en-US"/>
        </w:rPr>
      </w:pPr>
      <w:r w:rsidRPr="00CF0C7D">
        <w:rPr>
          <w:lang w:eastAsia="en-US"/>
        </w:rPr>
        <w:t>La plupart des participants étaient des étudiants universitaires; les trois quarts d’entre eux avaient obtenu (ou étaient en voie d’obtenir) un baccalauréat de quatre ans (33; 78,5 %) et trois d’entre eux suivaient un baccalauréat de trois ans (7,1 %). Les autres participants suivaient un programme menant à un diplôme d’études collégiales (2; 4,8 %), à un certificat d’études collégiales (1; 2,4 %) ou à un autre type de programme (3; 7,1 %).</w:t>
      </w:r>
    </w:p>
    <w:p w14:paraId="768E06A5" w14:textId="7BDF5B3D" w:rsidR="003D3ED9" w:rsidRPr="00CF0C7D" w:rsidRDefault="00FA7AA0" w:rsidP="003D3ED9">
      <w:pPr>
        <w:pStyle w:val="Heading2"/>
      </w:pPr>
      <w:bookmarkStart w:id="15" w:name="_Toc233210509"/>
      <w:r w:rsidRPr="00CF0C7D">
        <w:t>Processus d’analyse des données des groupes de discussion</w:t>
      </w:r>
      <w:bookmarkEnd w:id="15"/>
    </w:p>
    <w:p w14:paraId="148F9E33" w14:textId="77777777" w:rsidR="00FA7AA0" w:rsidRPr="00CF0C7D" w:rsidRDefault="00FA7AA0" w:rsidP="003D3ED9">
      <w:r w:rsidRPr="00CF0C7D">
        <w:t>Les animateurs des groupes de discussion ont pris des notes de terrain détaillées (c’est-à-dire résumant les réponses des participants et leurs impressions générales sur le groupe de discussion) afin de permettre l’identification précoce des thèmes et de signaler les défis méthodologiques potentiels.</w:t>
      </w:r>
    </w:p>
    <w:p w14:paraId="6A6624F7" w14:textId="23189284" w:rsidR="003D3ED9" w:rsidRPr="00CF0C7D" w:rsidRDefault="00FA7AA0" w:rsidP="003D3ED9">
      <w:r w:rsidRPr="00CF0C7D">
        <w:t>Pour analyser les données, deux membres de l’équipe de recherche ont examiné une sélection de transcriptions de groupes de discussion et d’entrevues afin d’élaborer une liste de codes initiaux. Le livre de codes comprend des thèmes et sous-thèmes de premier niveau, des définitions pour chaque thème, ainsi que des exemples de contenu codé dans chaque thème. Afin de garantir la fiabilité de notre livre de codes, nous avons appliqué un processus rigoureux pour son élaboration. Six membres de l’équipe (trois développeurs expérimentés de livres de codes et trois stagiaires) se sont vu attribuer la même transcription de groupe de discussion à examiner; ils ont attribué des noms (« codes ») aux idées (« thèmes ») dans leur transcription individuelle à l’aide de la fonction de commentaire de Microsoft Word. L’équipe s’est réunie à trois reprises. Lors de la première réunion, la première moitié de la transcription a été examinée en groupe, et les membres de l’équipe ont discuté de la manière dont chacun avait codé chaque passage. L’analyste principal et l’animateur ont commencé à élaborer le guide de codage à partir de cette discussion. À la suite de cette réunion, tous les membres de l’équipe ont utilisé l’ébauche du guide de codage pour coder la seconde moitié de la transcription, en signalant les endroits où de nouveaux codes étaient nécessaires ou ceux où les codes existants devaient être modifiés. La deuxième réunion a suivi les mêmes étapes que la première.</w:t>
      </w:r>
    </w:p>
    <w:p w14:paraId="6B59FAF0" w14:textId="44B55D77" w:rsidR="00FA7AA0" w:rsidRPr="00CF0C7D" w:rsidRDefault="00FA7AA0" w:rsidP="003D3ED9">
      <w:r w:rsidRPr="00CF0C7D">
        <w:t>Après la deuxième réunion, le guide de codage a été testé à l’aide d’une nouvelle transcription afin de déterminer où de nouveaux codes étaient nécessaires ou où des modifications devaient être apportées aux codes existants. L’équipe s’est réunie une dernière fois pour en discuter. À la suite de cette réunion, l’analyste principal a examiné les notes de terrain des transcriptions restantes, ajoutant ou modifiant des codes au besoin pour créer la version finale du guide de codage. Ce processus s’est poursuivi jusqu’à ce que l’examen des notes de terrain ne fasse plus ressortir de nouveaux thèmes.</w:t>
      </w:r>
    </w:p>
    <w:p w14:paraId="61E9CDFF" w14:textId="1BEE5FDA" w:rsidR="00E537FF" w:rsidRPr="00CF0C7D" w:rsidRDefault="00FA7AA0" w:rsidP="00E537FF">
      <w:pPr>
        <w:pStyle w:val="Heading2"/>
        <w:rPr>
          <w:lang w:eastAsia="en-US"/>
        </w:rPr>
      </w:pPr>
      <w:bookmarkStart w:id="16" w:name="_Toc233210510"/>
      <w:r w:rsidRPr="00CF0C7D">
        <w:rPr>
          <w:lang w:eastAsia="en-US"/>
        </w:rPr>
        <w:lastRenderedPageBreak/>
        <w:t>Caractéristiques des participants aux groupes de discussion</w:t>
      </w:r>
      <w:bookmarkEnd w:id="16"/>
    </w:p>
    <w:p w14:paraId="0B243224" w14:textId="70E5DB14" w:rsidR="00E14D0D" w:rsidRPr="00CF0C7D" w:rsidRDefault="00FA7AA0" w:rsidP="00E14D0D">
      <w:pPr>
        <w:rPr>
          <w:lang w:eastAsia="en-US"/>
        </w:rPr>
      </w:pPr>
      <w:r w:rsidRPr="00CF0C7D">
        <w:rPr>
          <w:lang w:eastAsia="en-US"/>
        </w:rPr>
        <w:t>Les participants aux groupes de discussion n’étaient pas tenus de divulguer des renseignements démographiques précis ni le type de leur handicap, mais ceux qui ont mentionné ou décrit leur type de handicap présentaient principalement des handicaps non apparents, notamment :</w:t>
      </w:r>
    </w:p>
    <w:p w14:paraId="5F228CFA" w14:textId="7BB781A2" w:rsidR="00FA7AA0" w:rsidRPr="00CF0C7D" w:rsidRDefault="0045247B">
      <w:pPr>
        <w:pStyle w:val="ListParagraph"/>
        <w:numPr>
          <w:ilvl w:val="0"/>
          <w:numId w:val="6"/>
        </w:numPr>
        <w:rPr>
          <w:lang w:val="fr-CA"/>
        </w:rPr>
      </w:pPr>
      <w:r>
        <w:rPr>
          <w:lang w:val="fr-CA"/>
        </w:rPr>
        <w:t>Handicap</w:t>
      </w:r>
      <w:r w:rsidR="00FA7AA0" w:rsidRPr="00CF0C7D">
        <w:rPr>
          <w:lang w:val="fr-CA"/>
        </w:rPr>
        <w:t>s d’apprentissage</w:t>
      </w:r>
    </w:p>
    <w:p w14:paraId="4B87320E" w14:textId="1DB192C2" w:rsidR="00FA7AA0" w:rsidRPr="00CF0C7D" w:rsidRDefault="00FA7AA0">
      <w:pPr>
        <w:pStyle w:val="ListParagraph"/>
        <w:numPr>
          <w:ilvl w:val="0"/>
          <w:numId w:val="6"/>
        </w:numPr>
        <w:rPr>
          <w:lang w:val="fr-CA"/>
        </w:rPr>
      </w:pPr>
      <w:r w:rsidRPr="00CF0C7D">
        <w:rPr>
          <w:lang w:val="fr-CA"/>
        </w:rPr>
        <w:t>Neurodivergence (TDAH)</w:t>
      </w:r>
    </w:p>
    <w:p w14:paraId="1C9817C2" w14:textId="00CE46D7" w:rsidR="00FA7AA0" w:rsidRPr="00CF0C7D" w:rsidRDefault="00FA7AA0">
      <w:pPr>
        <w:pStyle w:val="ListParagraph"/>
        <w:numPr>
          <w:ilvl w:val="0"/>
          <w:numId w:val="6"/>
        </w:numPr>
        <w:rPr>
          <w:lang w:val="fr-CA"/>
        </w:rPr>
      </w:pPr>
      <w:r w:rsidRPr="00CF0C7D">
        <w:rPr>
          <w:lang w:val="fr-CA"/>
        </w:rPr>
        <w:t>Handicaps liés à la santé mentale</w:t>
      </w:r>
    </w:p>
    <w:p w14:paraId="11D42AB2" w14:textId="2943433C" w:rsidR="00FA7AA0" w:rsidRPr="00CF0C7D" w:rsidRDefault="00FA7AA0">
      <w:pPr>
        <w:pStyle w:val="ListParagraph"/>
        <w:numPr>
          <w:ilvl w:val="0"/>
          <w:numId w:val="6"/>
        </w:numPr>
        <w:rPr>
          <w:lang w:val="fr-CA"/>
        </w:rPr>
      </w:pPr>
      <w:r w:rsidRPr="00CF0C7D">
        <w:rPr>
          <w:lang w:val="fr-CA"/>
        </w:rPr>
        <w:t>Anxiété sociale</w:t>
      </w:r>
    </w:p>
    <w:p w14:paraId="1376B181" w14:textId="1A32320E" w:rsidR="00FA7AA0" w:rsidRPr="00CF0C7D" w:rsidRDefault="00FA7AA0">
      <w:pPr>
        <w:pStyle w:val="ListParagraph"/>
        <w:numPr>
          <w:ilvl w:val="0"/>
          <w:numId w:val="6"/>
        </w:numPr>
        <w:rPr>
          <w:lang w:val="fr-CA"/>
        </w:rPr>
      </w:pPr>
      <w:r w:rsidRPr="00CF0C7D">
        <w:rPr>
          <w:lang w:val="fr-CA"/>
        </w:rPr>
        <w:t>Handicaps sensoriels</w:t>
      </w:r>
    </w:p>
    <w:p w14:paraId="6ED1DA77" w14:textId="47F8B620" w:rsidR="00E14D0D" w:rsidRPr="00CF0C7D" w:rsidRDefault="00FA7AA0">
      <w:pPr>
        <w:pStyle w:val="ListParagraph"/>
        <w:numPr>
          <w:ilvl w:val="0"/>
          <w:numId w:val="6"/>
        </w:numPr>
        <w:rPr>
          <w:lang w:val="fr-CA"/>
        </w:rPr>
      </w:pPr>
      <w:r w:rsidRPr="00CF0C7D">
        <w:rPr>
          <w:lang w:val="fr-CA"/>
        </w:rPr>
        <w:t>Handicaps médicaux (allergie au soleil; dysménorrhée)</w:t>
      </w:r>
    </w:p>
    <w:p w14:paraId="0ACBB149" w14:textId="4FE8AB90" w:rsidR="00E14D0D" w:rsidRPr="00CF0C7D" w:rsidRDefault="00AB6BEF" w:rsidP="00E14D0D">
      <w:pPr>
        <w:rPr>
          <w:lang w:eastAsia="en-US"/>
        </w:rPr>
      </w:pPr>
      <w:r w:rsidRPr="00CF0C7D">
        <w:rPr>
          <w:lang w:eastAsia="en-US"/>
        </w:rPr>
        <w:t>De même, on n’a pas demandé aux participants de divulguer des renseignements démographiques, mais certains d’entre eux ont volontairement partagé des informations à ce sujet :</w:t>
      </w:r>
    </w:p>
    <w:p w14:paraId="25B02CB5" w14:textId="201D54EF" w:rsidR="00AB6BEF" w:rsidRPr="00CF0C7D" w:rsidRDefault="00AB6BEF">
      <w:pPr>
        <w:pStyle w:val="ListParagraph"/>
        <w:numPr>
          <w:ilvl w:val="0"/>
          <w:numId w:val="7"/>
        </w:numPr>
        <w:rPr>
          <w:lang w:val="fr-CA"/>
        </w:rPr>
      </w:pPr>
      <w:r w:rsidRPr="00CF0C7D">
        <w:rPr>
          <w:lang w:val="fr-CA"/>
        </w:rPr>
        <w:t>Parmi les participants figuraient des hommes, des femmes et des personnes non binaires</w:t>
      </w:r>
    </w:p>
    <w:p w14:paraId="72AFEC14" w14:textId="70140300" w:rsidR="00AB6BEF" w:rsidRPr="00CF0C7D" w:rsidRDefault="00AB6BEF">
      <w:pPr>
        <w:pStyle w:val="ListParagraph"/>
        <w:numPr>
          <w:ilvl w:val="0"/>
          <w:numId w:val="7"/>
        </w:numPr>
        <w:rPr>
          <w:lang w:val="fr-CA"/>
        </w:rPr>
      </w:pPr>
      <w:r w:rsidRPr="00CF0C7D">
        <w:rPr>
          <w:lang w:val="fr-CA"/>
        </w:rPr>
        <w:t xml:space="preserve">Les participants ont eux-mêmes décrit leur </w:t>
      </w:r>
      <w:r w:rsidR="006F2E7D" w:rsidRPr="006F2E7D">
        <w:rPr>
          <w:lang w:val="fr-CA"/>
        </w:rPr>
        <w:t>identité raciale ou ethnoculturelle</w:t>
      </w:r>
      <w:r w:rsidRPr="00CF0C7D">
        <w:rPr>
          <w:lang w:val="fr-CA"/>
        </w:rPr>
        <w:t xml:space="preserve">, s’identifiant comme </w:t>
      </w:r>
      <w:r w:rsidR="006F2E7D" w:rsidRPr="006F2E7D">
        <w:rPr>
          <w:lang w:val="fr-CA"/>
        </w:rPr>
        <w:t>personnes racialisées</w:t>
      </w:r>
      <w:r w:rsidRPr="00CF0C7D">
        <w:rPr>
          <w:lang w:val="fr-CA"/>
        </w:rPr>
        <w:t>, d’Asie du Sud, noires et blanches</w:t>
      </w:r>
    </w:p>
    <w:p w14:paraId="6200A151" w14:textId="14B084AE" w:rsidR="00AB6BEF" w:rsidRPr="00CF0C7D" w:rsidRDefault="00AB6BEF">
      <w:pPr>
        <w:pStyle w:val="ListParagraph"/>
        <w:numPr>
          <w:ilvl w:val="0"/>
          <w:numId w:val="7"/>
        </w:numPr>
        <w:rPr>
          <w:lang w:val="fr-CA"/>
        </w:rPr>
      </w:pPr>
      <w:r w:rsidRPr="00CF0C7D">
        <w:rPr>
          <w:lang w:val="fr-CA"/>
        </w:rPr>
        <w:t>Un participant a indiqué être musulman</w:t>
      </w:r>
    </w:p>
    <w:p w14:paraId="4D39898D" w14:textId="381C0C52" w:rsidR="00AB6BEF" w:rsidRPr="00CF0C7D" w:rsidRDefault="00AB6BEF">
      <w:pPr>
        <w:pStyle w:val="ListParagraph"/>
        <w:numPr>
          <w:ilvl w:val="0"/>
          <w:numId w:val="7"/>
        </w:numPr>
        <w:rPr>
          <w:lang w:val="fr-CA"/>
        </w:rPr>
      </w:pPr>
      <w:r w:rsidRPr="00CF0C7D">
        <w:rPr>
          <w:lang w:val="fr-CA"/>
        </w:rPr>
        <w:t xml:space="preserve">Un participant a indiqué s’identifier comme </w:t>
      </w:r>
      <w:r w:rsidR="006F2E7D" w:rsidRPr="006F2E7D">
        <w:rPr>
          <w:lang w:val="fr-CA"/>
        </w:rPr>
        <w:t>«</w:t>
      </w:r>
      <w:r w:rsidR="006F2E7D">
        <w:rPr>
          <w:lang w:val="fr-CA"/>
        </w:rPr>
        <w:t xml:space="preserve"> queer</w:t>
      </w:r>
      <w:r w:rsidR="006F2E7D" w:rsidRPr="006F2E7D">
        <w:rPr>
          <w:lang w:val="fr-CA"/>
        </w:rPr>
        <w:t xml:space="preserve"> »</w:t>
      </w:r>
    </w:p>
    <w:p w14:paraId="335EB9FE" w14:textId="0E3C7F79" w:rsidR="00AB6BEF" w:rsidRPr="00CF0C7D" w:rsidRDefault="00AB6BEF">
      <w:pPr>
        <w:pStyle w:val="ListParagraph"/>
        <w:numPr>
          <w:ilvl w:val="0"/>
          <w:numId w:val="7"/>
        </w:numPr>
        <w:rPr>
          <w:lang w:val="fr-CA"/>
        </w:rPr>
      </w:pPr>
      <w:r w:rsidRPr="00CF0C7D">
        <w:rPr>
          <w:lang w:val="fr-CA"/>
        </w:rPr>
        <w:t>Un participant a indiqué avoir connu la pauvreté intergénérationnelle et un statut socio-économique défavorisé</w:t>
      </w:r>
    </w:p>
    <w:p w14:paraId="541221F5" w14:textId="103E0DE1" w:rsidR="00AB6BEF" w:rsidRPr="00CF0C7D" w:rsidRDefault="00AB6BEF">
      <w:pPr>
        <w:pStyle w:val="ListParagraph"/>
        <w:numPr>
          <w:ilvl w:val="0"/>
          <w:numId w:val="7"/>
        </w:numPr>
        <w:rPr>
          <w:lang w:val="fr-CA"/>
        </w:rPr>
      </w:pPr>
      <w:r w:rsidRPr="00CF0C7D">
        <w:rPr>
          <w:lang w:val="fr-CA"/>
        </w:rPr>
        <w:t>Un participant a indiqué être un survivant de maltraitance</w:t>
      </w:r>
    </w:p>
    <w:p w14:paraId="397433B5" w14:textId="3BB1D3B8" w:rsidR="00AB6BEF" w:rsidRPr="00CF0C7D" w:rsidRDefault="00AB6BEF">
      <w:pPr>
        <w:pStyle w:val="ListParagraph"/>
        <w:numPr>
          <w:ilvl w:val="0"/>
          <w:numId w:val="7"/>
        </w:numPr>
        <w:rPr>
          <w:lang w:val="fr-CA"/>
        </w:rPr>
      </w:pPr>
      <w:r w:rsidRPr="00CF0C7D">
        <w:rPr>
          <w:lang w:val="fr-CA"/>
        </w:rPr>
        <w:t>Un participant a indiqué être la première personne de sa famille à fréquenter l’université</w:t>
      </w:r>
    </w:p>
    <w:p w14:paraId="3AFEF0C3" w14:textId="735237B0" w:rsidR="00AB6BEF" w:rsidRPr="00CF0C7D" w:rsidRDefault="00AB6BEF" w:rsidP="00E14D0D">
      <w:pPr>
        <w:rPr>
          <w:lang w:eastAsia="en-US"/>
        </w:rPr>
      </w:pPr>
      <w:r w:rsidRPr="00CF0C7D">
        <w:rPr>
          <w:lang w:eastAsia="en-US"/>
        </w:rPr>
        <w:t>Parmi les participants ayant précisé le type d’établissement d’enseignement qu’ils fréquentaient, la majorité fréquentait actuellement l’université ou l’avait fréquentée récemment. Deux ont indiqué avoir d’abord fréquenté un collège avant d’entrer à l’université.</w:t>
      </w:r>
    </w:p>
    <w:p w14:paraId="568E5F73" w14:textId="3A62C00E" w:rsidR="00E14D0D" w:rsidRPr="00CF0C7D" w:rsidRDefault="00AB6BEF" w:rsidP="00E14D0D">
      <w:pPr>
        <w:rPr>
          <w:lang w:eastAsia="en-US"/>
        </w:rPr>
      </w:pPr>
      <w:r w:rsidRPr="00CF0C7D">
        <w:rPr>
          <w:lang w:eastAsia="en-US"/>
        </w:rPr>
        <w:t>De nombreux participants mettaient plus de temps que d’habitude à terminer leurs études postsecondaires. Parmi les raisons invoquées, on peut citer :</w:t>
      </w:r>
    </w:p>
    <w:p w14:paraId="3178321F" w14:textId="732C5C22" w:rsidR="001E7236" w:rsidRPr="00CF0C7D" w:rsidRDefault="001E7236">
      <w:pPr>
        <w:pStyle w:val="ListParagraph"/>
        <w:numPr>
          <w:ilvl w:val="0"/>
          <w:numId w:val="5"/>
        </w:numPr>
        <w:rPr>
          <w:lang w:val="fr-CA"/>
        </w:rPr>
      </w:pPr>
      <w:r w:rsidRPr="00CF0C7D">
        <w:rPr>
          <w:lang w:val="fr-CA"/>
        </w:rPr>
        <w:t>Une interruption des études pendant la pandémie de COVID-19</w:t>
      </w:r>
    </w:p>
    <w:p w14:paraId="6B279DB6" w14:textId="7DFC6EEA" w:rsidR="001E7236" w:rsidRPr="00CF0C7D" w:rsidRDefault="001E7236">
      <w:pPr>
        <w:pStyle w:val="ListParagraph"/>
        <w:numPr>
          <w:ilvl w:val="0"/>
          <w:numId w:val="5"/>
        </w:numPr>
        <w:rPr>
          <w:lang w:val="fr-CA"/>
        </w:rPr>
      </w:pPr>
      <w:r w:rsidRPr="00CF0C7D">
        <w:rPr>
          <w:lang w:val="fr-CA"/>
        </w:rPr>
        <w:t>La nécessité de travailler tout en étudiant</w:t>
      </w:r>
    </w:p>
    <w:p w14:paraId="69DA2FC6" w14:textId="181BBD2C" w:rsidR="001E7236" w:rsidRPr="00CF0C7D" w:rsidRDefault="001E7236">
      <w:pPr>
        <w:pStyle w:val="ListParagraph"/>
        <w:numPr>
          <w:ilvl w:val="0"/>
          <w:numId w:val="5"/>
        </w:numPr>
        <w:rPr>
          <w:lang w:val="fr-CA"/>
        </w:rPr>
      </w:pPr>
      <w:r w:rsidRPr="00CF0C7D">
        <w:rPr>
          <w:lang w:val="fr-CA"/>
        </w:rPr>
        <w:t>L’attente du versement d’une aide financière du gouvernement</w:t>
      </w:r>
    </w:p>
    <w:p w14:paraId="44D54071" w14:textId="505D6286" w:rsidR="001E7236" w:rsidRPr="00CF0C7D" w:rsidRDefault="001E7236">
      <w:pPr>
        <w:pStyle w:val="ListParagraph"/>
        <w:numPr>
          <w:ilvl w:val="0"/>
          <w:numId w:val="5"/>
        </w:numPr>
        <w:rPr>
          <w:lang w:val="fr-CA"/>
        </w:rPr>
      </w:pPr>
      <w:r w:rsidRPr="00CF0C7D">
        <w:rPr>
          <w:lang w:val="fr-CA"/>
        </w:rPr>
        <w:t>Le besoin de temps supplémentaire en raison d’un handicap (p. ex., trouble d’apprentissage, handicap lié à la santé mentale).</w:t>
      </w:r>
    </w:p>
    <w:p w14:paraId="052BC737" w14:textId="679D8531" w:rsidR="00E14D0D" w:rsidRPr="00CF0C7D" w:rsidRDefault="001E7236" w:rsidP="001E7236">
      <w:r w:rsidRPr="00CF0C7D">
        <w:t>La plupart des participants étaient sur le point d’obtenir leur diplôme, bien que quelques-uns aient récemment obtenu le leur.</w:t>
      </w:r>
    </w:p>
    <w:p w14:paraId="7B862FDD" w14:textId="139D1879" w:rsidR="00E14D0D" w:rsidRPr="00CF0C7D" w:rsidRDefault="001E7236" w:rsidP="00E14D0D">
      <w:pPr>
        <w:rPr>
          <w:lang w:eastAsia="en-US"/>
        </w:rPr>
      </w:pPr>
      <w:r w:rsidRPr="00CF0C7D">
        <w:rPr>
          <w:lang w:eastAsia="en-US"/>
        </w:rPr>
        <w:t>Les participants étaient inscrits à un large éventail de programmes, couvrant des domaines tels que :</w:t>
      </w:r>
    </w:p>
    <w:p w14:paraId="42A91292" w14:textId="7BB9AD2D" w:rsidR="001E7236" w:rsidRPr="00CF0C7D" w:rsidRDefault="001E7236">
      <w:pPr>
        <w:pStyle w:val="ListParagraph"/>
        <w:numPr>
          <w:ilvl w:val="0"/>
          <w:numId w:val="4"/>
        </w:numPr>
        <w:rPr>
          <w:lang w:val="fr-CA"/>
        </w:rPr>
      </w:pPr>
      <w:r w:rsidRPr="00CF0C7D">
        <w:rPr>
          <w:lang w:val="fr-CA"/>
        </w:rPr>
        <w:t>Communication et médias</w:t>
      </w:r>
    </w:p>
    <w:p w14:paraId="6B3A4FF7" w14:textId="58654460" w:rsidR="001E7236" w:rsidRPr="00CF0C7D" w:rsidRDefault="001E7236">
      <w:pPr>
        <w:pStyle w:val="ListParagraph"/>
        <w:numPr>
          <w:ilvl w:val="0"/>
          <w:numId w:val="4"/>
        </w:numPr>
        <w:rPr>
          <w:lang w:val="fr-CA"/>
        </w:rPr>
      </w:pPr>
      <w:r w:rsidRPr="00CF0C7D">
        <w:rPr>
          <w:lang w:val="fr-CA"/>
        </w:rPr>
        <w:t>Sciences politiques et relations de travail</w:t>
      </w:r>
    </w:p>
    <w:p w14:paraId="371AAA45" w14:textId="23DD79D5" w:rsidR="001E7236" w:rsidRPr="00CF0C7D" w:rsidRDefault="001E7236">
      <w:pPr>
        <w:pStyle w:val="ListParagraph"/>
        <w:numPr>
          <w:ilvl w:val="0"/>
          <w:numId w:val="4"/>
        </w:numPr>
        <w:rPr>
          <w:lang w:val="fr-CA"/>
        </w:rPr>
      </w:pPr>
      <w:r w:rsidRPr="00CF0C7D">
        <w:rPr>
          <w:lang w:val="fr-CA"/>
        </w:rPr>
        <w:t>Biologie</w:t>
      </w:r>
    </w:p>
    <w:p w14:paraId="1502F681" w14:textId="0F11C727" w:rsidR="001E7236" w:rsidRPr="00CF0C7D" w:rsidRDefault="001E7236">
      <w:pPr>
        <w:pStyle w:val="ListParagraph"/>
        <w:numPr>
          <w:ilvl w:val="0"/>
          <w:numId w:val="4"/>
        </w:numPr>
        <w:rPr>
          <w:lang w:val="fr-CA"/>
        </w:rPr>
      </w:pPr>
      <w:r w:rsidRPr="00CF0C7D">
        <w:rPr>
          <w:lang w:val="fr-CA"/>
        </w:rPr>
        <w:t>Études anglaises et culturelles</w:t>
      </w:r>
    </w:p>
    <w:p w14:paraId="2DB779BF" w14:textId="3990FA5F" w:rsidR="001E7236" w:rsidRPr="00CF0C7D" w:rsidRDefault="001E7236">
      <w:pPr>
        <w:pStyle w:val="ListParagraph"/>
        <w:numPr>
          <w:ilvl w:val="0"/>
          <w:numId w:val="4"/>
        </w:numPr>
        <w:rPr>
          <w:lang w:val="fr-CA"/>
        </w:rPr>
      </w:pPr>
      <w:r w:rsidRPr="00CF0C7D">
        <w:rPr>
          <w:lang w:val="fr-CA"/>
        </w:rPr>
        <w:t>Genre et justice sociale</w:t>
      </w:r>
    </w:p>
    <w:p w14:paraId="72C667C7" w14:textId="0AFE35EA" w:rsidR="001E7236" w:rsidRPr="00CF0C7D" w:rsidRDefault="001E7236">
      <w:pPr>
        <w:pStyle w:val="ListParagraph"/>
        <w:numPr>
          <w:ilvl w:val="0"/>
          <w:numId w:val="4"/>
        </w:numPr>
        <w:rPr>
          <w:lang w:val="fr-CA"/>
        </w:rPr>
      </w:pPr>
      <w:r w:rsidRPr="00CF0C7D">
        <w:rPr>
          <w:lang w:val="fr-CA"/>
        </w:rPr>
        <w:t>Psychologie</w:t>
      </w:r>
    </w:p>
    <w:p w14:paraId="408843DD" w14:textId="0670E9FB" w:rsidR="001E7236" w:rsidRPr="00CF0C7D" w:rsidRDefault="001E7236">
      <w:pPr>
        <w:pStyle w:val="ListParagraph"/>
        <w:numPr>
          <w:ilvl w:val="0"/>
          <w:numId w:val="4"/>
        </w:numPr>
        <w:rPr>
          <w:lang w:val="fr-CA"/>
        </w:rPr>
      </w:pPr>
      <w:r w:rsidRPr="00CF0C7D">
        <w:rPr>
          <w:lang w:val="fr-CA"/>
        </w:rPr>
        <w:lastRenderedPageBreak/>
        <w:t>Diplôme général</w:t>
      </w:r>
    </w:p>
    <w:p w14:paraId="46A057D1" w14:textId="3219E381" w:rsidR="001E7236" w:rsidRPr="00CF0C7D" w:rsidRDefault="001E7236">
      <w:pPr>
        <w:pStyle w:val="ListParagraph"/>
        <w:numPr>
          <w:ilvl w:val="0"/>
          <w:numId w:val="4"/>
        </w:numPr>
        <w:rPr>
          <w:lang w:val="fr-CA"/>
        </w:rPr>
      </w:pPr>
      <w:r w:rsidRPr="00CF0C7D">
        <w:rPr>
          <w:lang w:val="fr-CA"/>
        </w:rPr>
        <w:t>Comptabilité</w:t>
      </w:r>
    </w:p>
    <w:p w14:paraId="1055C14C" w14:textId="4B3049B4" w:rsidR="001E7236" w:rsidRPr="00CF0C7D" w:rsidRDefault="001E7236">
      <w:pPr>
        <w:pStyle w:val="ListParagraph"/>
        <w:numPr>
          <w:ilvl w:val="0"/>
          <w:numId w:val="4"/>
        </w:numPr>
        <w:rPr>
          <w:lang w:val="fr-CA"/>
        </w:rPr>
      </w:pPr>
      <w:r w:rsidRPr="00CF0C7D">
        <w:rPr>
          <w:lang w:val="fr-CA"/>
        </w:rPr>
        <w:t>Histoire</w:t>
      </w:r>
    </w:p>
    <w:p w14:paraId="44E54851" w14:textId="0625EDA3" w:rsidR="001E7236" w:rsidRPr="00CF0C7D" w:rsidRDefault="001E7236">
      <w:pPr>
        <w:pStyle w:val="ListParagraph"/>
        <w:numPr>
          <w:ilvl w:val="0"/>
          <w:numId w:val="4"/>
        </w:numPr>
        <w:rPr>
          <w:lang w:val="fr-CA"/>
        </w:rPr>
      </w:pPr>
      <w:r w:rsidRPr="00CF0C7D">
        <w:rPr>
          <w:lang w:val="fr-CA"/>
        </w:rPr>
        <w:t>Affaires</w:t>
      </w:r>
    </w:p>
    <w:p w14:paraId="1DC373AD" w14:textId="2708DBBF" w:rsidR="001E7236" w:rsidRPr="00CF0C7D" w:rsidRDefault="001E7236">
      <w:pPr>
        <w:pStyle w:val="ListParagraph"/>
        <w:numPr>
          <w:ilvl w:val="0"/>
          <w:numId w:val="4"/>
        </w:numPr>
        <w:rPr>
          <w:lang w:val="fr-CA"/>
        </w:rPr>
      </w:pPr>
      <w:r w:rsidRPr="00CF0C7D">
        <w:rPr>
          <w:lang w:val="fr-CA"/>
        </w:rPr>
        <w:t>Administration</w:t>
      </w:r>
    </w:p>
    <w:p w14:paraId="3A1066B0" w14:textId="19D2F5A7" w:rsidR="00E14D0D" w:rsidRPr="00CF0C7D" w:rsidRDefault="00B60141" w:rsidP="001E7236">
      <w:r w:rsidRPr="00CF0C7D">
        <w:t>De nombreux participants occupaient actuellement un emploi. Certains travaillaient à temps partiel pendant leurs études, notamment sur le campus dans le cadre d’un programme d’emploi ou en effectuant des petits boulots comme la surveillance d’examens. Quelques participants travaillaient à temps plein pendant l’été, tandis qu’un participant occupait un emploi saisonnier pendant cette période. Un participant s’apprêtait à commencer un stage dans les mois à venir.</w:t>
      </w:r>
    </w:p>
    <w:p w14:paraId="77F610E2" w14:textId="706997E7" w:rsidR="00E537FF" w:rsidRPr="00CF0C7D" w:rsidRDefault="00B60141" w:rsidP="00E14D0D">
      <w:pPr>
        <w:rPr>
          <w:lang w:eastAsia="en-US"/>
        </w:rPr>
      </w:pPr>
      <w:r w:rsidRPr="00CF0C7D">
        <w:rPr>
          <w:lang w:eastAsia="en-US"/>
        </w:rPr>
        <w:t>Quelques participants ont expliqué pourquoi il était nécessaire de travailler pendant leurs études. Pour l’un d’entre eux, il s’agissait de financer ses études, d’autant plus qu’il prend plus de temps pour terminer son parcours en raison de son handicap.</w:t>
      </w:r>
    </w:p>
    <w:p w14:paraId="096C594F" w14:textId="742D6F91" w:rsidR="00A4542F" w:rsidRPr="00CF0C7D" w:rsidRDefault="00751659" w:rsidP="00E537FF">
      <w:pPr>
        <w:pStyle w:val="Heading2"/>
      </w:pPr>
      <w:bookmarkStart w:id="17" w:name="_Toc233210511"/>
      <w:r w:rsidRPr="00CF0C7D">
        <w:t>Attentes et résultats en matière d’emploi</w:t>
      </w:r>
      <w:bookmarkEnd w:id="17"/>
    </w:p>
    <w:p w14:paraId="6733CE66" w14:textId="6695AAA8" w:rsidR="006367D1" w:rsidRPr="00CF0C7D" w:rsidRDefault="00751659" w:rsidP="006367D1">
      <w:r w:rsidRPr="00CF0C7D">
        <w:t>Afin d’étudier les questions de recherche 1 et 1(a-b) concernant les attentes des étudiants quant à l’obtention de leur diplôme et à leur entrée sur le marché du travail, la manière dont ces attentes variaient (le cas échéant) en fonction de critères sociodémographiques, et si ces attentes différaient des résultats réels, nous avons examiné les statistiques descriptives des attentes des participants au début de l’étude, et nous avons également mené des analyses inférentielles des données désagrégées au début de l’étude et lors du suivi.</w:t>
      </w:r>
    </w:p>
    <w:p w14:paraId="59D609B6" w14:textId="54E3FCB6" w:rsidR="006367D1" w:rsidRPr="00CF0C7D" w:rsidRDefault="00751659" w:rsidP="00E537FF">
      <w:pPr>
        <w:pStyle w:val="Heading3"/>
        <w:rPr>
          <w:lang w:eastAsia="en-US"/>
        </w:rPr>
      </w:pPr>
      <w:r w:rsidRPr="00CF0C7D">
        <w:rPr>
          <w:lang w:eastAsia="en-US"/>
        </w:rPr>
        <w:t>Objectifs et attentes en matière d’emploi au début de l’étude</w:t>
      </w:r>
    </w:p>
    <w:p w14:paraId="033F6F4D" w14:textId="3A852063" w:rsidR="006367D1" w:rsidRPr="00CF0C7D" w:rsidRDefault="00751659" w:rsidP="006367D1">
      <w:pPr>
        <w:rPr>
          <w:lang w:eastAsia="en-US"/>
        </w:rPr>
      </w:pPr>
      <w:r w:rsidRPr="00CF0C7D">
        <w:rPr>
          <w:lang w:eastAsia="en-US"/>
        </w:rPr>
        <w:t>Au début de l’étude, presque tous les participants espéraient trouver un emploi dans un domaine lié à leurs études (261; 90,6 %). Les participants avaient des opinions divergentes quant à la durée prévue de leur processus de recherche d’emploi. La plupart s’attendaient à ce que ce processus dure au moins un mois, mais moins de six mois; seul un participant sur dix s’attendait à trouver un emploi dans le mois suivant l’obtention de son diplôme (30; 10,4 %) et environ un sur neuf pensait que cela prendrait six mois ou plus (39; 13,5 %). Environ un quart des participants s’attendaient à trouver un emploi dans un délai de 1 à 2 mois (74; 25,7 %); environ un tiers pensaient que cela prendrait de 2 à 3 mois (91; 31,6 %); et environ un sur six s’attendaient à ce que cela prenne de 3 à 6 mois (52; 18,6 %).</w:t>
      </w:r>
    </w:p>
    <w:p w14:paraId="66E14F8A" w14:textId="77777777" w:rsidR="00FC295B" w:rsidRPr="00CF0C7D" w:rsidRDefault="00FC295B" w:rsidP="006367D1">
      <w:pPr>
        <w:rPr>
          <w:lang w:eastAsia="en-US"/>
        </w:rPr>
      </w:pPr>
    </w:p>
    <w:p w14:paraId="67020749" w14:textId="77777777" w:rsidR="00FC295B" w:rsidRPr="00CF0C7D" w:rsidRDefault="00FC295B" w:rsidP="006367D1">
      <w:pPr>
        <w:rPr>
          <w:lang w:eastAsia="en-US"/>
        </w:rPr>
      </w:pPr>
    </w:p>
    <w:p w14:paraId="1806C7D9" w14:textId="77777777" w:rsidR="00FC295B" w:rsidRPr="00CF0C7D" w:rsidRDefault="00FC295B" w:rsidP="006367D1">
      <w:pPr>
        <w:rPr>
          <w:lang w:eastAsia="en-US"/>
        </w:rPr>
      </w:pPr>
    </w:p>
    <w:p w14:paraId="0B775851" w14:textId="77777777" w:rsidR="00FC295B" w:rsidRPr="00CF0C7D" w:rsidRDefault="00FC295B" w:rsidP="006367D1">
      <w:pPr>
        <w:rPr>
          <w:lang w:eastAsia="en-US"/>
        </w:rPr>
      </w:pPr>
    </w:p>
    <w:p w14:paraId="6ACA2160" w14:textId="77777777" w:rsidR="00FC295B" w:rsidRPr="00CF0C7D" w:rsidRDefault="00FC295B" w:rsidP="006367D1">
      <w:pPr>
        <w:rPr>
          <w:lang w:eastAsia="en-US"/>
        </w:rPr>
      </w:pPr>
    </w:p>
    <w:p w14:paraId="364736B4" w14:textId="77777777" w:rsidR="00FC295B" w:rsidRPr="00CF0C7D" w:rsidRDefault="00FC295B" w:rsidP="006367D1">
      <w:pPr>
        <w:rPr>
          <w:lang w:eastAsia="en-US"/>
        </w:rPr>
      </w:pPr>
    </w:p>
    <w:p w14:paraId="5C0E5CF5" w14:textId="77777777" w:rsidR="00FC295B" w:rsidRPr="00CF0C7D" w:rsidRDefault="00FC295B" w:rsidP="006367D1">
      <w:pPr>
        <w:rPr>
          <w:lang w:eastAsia="en-US"/>
        </w:rPr>
      </w:pPr>
    </w:p>
    <w:p w14:paraId="60ABEF01" w14:textId="77777777" w:rsidR="00FC295B" w:rsidRPr="00CF0C7D" w:rsidRDefault="00FC295B" w:rsidP="006367D1">
      <w:pPr>
        <w:rPr>
          <w:lang w:eastAsia="en-US"/>
        </w:rPr>
      </w:pPr>
    </w:p>
    <w:p w14:paraId="071C4297" w14:textId="77777777" w:rsidR="00FC295B" w:rsidRPr="00CF0C7D" w:rsidRDefault="00FC295B" w:rsidP="006367D1">
      <w:pPr>
        <w:rPr>
          <w:lang w:eastAsia="en-US"/>
        </w:rPr>
      </w:pPr>
    </w:p>
    <w:p w14:paraId="339D8AD4" w14:textId="6A4A1DA1" w:rsidR="006367D1" w:rsidRPr="00CF0C7D" w:rsidRDefault="00751659" w:rsidP="006367D1">
      <w:pPr>
        <w:rPr>
          <w:highlight w:val="yellow"/>
          <w:lang w:eastAsia="en-US"/>
        </w:rPr>
      </w:pPr>
      <w:r w:rsidRPr="00CF0C7D">
        <w:rPr>
          <w:lang w:eastAsia="en-US"/>
        </w:rPr>
        <w:t>Figure 1. Durée prévue de la recherche d’emploi</w:t>
      </w:r>
    </w:p>
    <w:p w14:paraId="649FA5A0" w14:textId="7BEA92A6" w:rsidR="00751659" w:rsidRPr="00CF0C7D" w:rsidRDefault="00002B8D" w:rsidP="006367D1">
      <w:pPr>
        <w:jc w:val="center"/>
        <w:rPr>
          <w:highlight w:val="yellow"/>
          <w:lang w:eastAsia="en-US"/>
        </w:rPr>
      </w:pPr>
      <w:r w:rsidRPr="00CF0C7D">
        <w:rPr>
          <w:noProof/>
        </w:rPr>
        <w:lastRenderedPageBreak/>
        <w:drawing>
          <wp:inline distT="0" distB="0" distL="0" distR="0" wp14:anchorId="7108D513" wp14:editId="64CF4A3F">
            <wp:extent cx="4767263" cy="2704306"/>
            <wp:effectExtent l="0" t="0" r="14605" b="1270"/>
            <wp:docPr id="819240416" name="Chart 1" descr="Figure 1. Durée prévue de la recherche d’emploi. Diagramme à barres illustrant la durée prévue de la recherche d’emploi par les participants après l’obtention de leur diplôme. La durée la plus fréquemment mentionnée était de 2 à 3 mois (91, soit 31,6 %), suivie de 1 à 2 mois (74, soit 25,7 %), de 3 à 6 mois (52, soit 18,6 %), de 6 mois ou plus (39, soit 13,5 %) et de moins d’un mois (30, soit 10,4 %).">
              <a:extLst xmlns:a="http://schemas.openxmlformats.org/drawingml/2006/main">
                <a:ext uri="{FF2B5EF4-FFF2-40B4-BE49-F238E27FC236}">
                  <a16:creationId xmlns:a16="http://schemas.microsoft.com/office/drawing/2014/main" id="{706C59AF-55A9-4586-8BE9-56E576936C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438DDE" w14:textId="77777777" w:rsidR="00FC295B" w:rsidRPr="00CF0C7D" w:rsidRDefault="00FC295B" w:rsidP="006367D1">
      <w:pPr>
        <w:rPr>
          <w:lang w:eastAsia="en-US"/>
        </w:rPr>
      </w:pPr>
    </w:p>
    <w:p w14:paraId="18D161CA" w14:textId="4013AF94" w:rsidR="0057752A" w:rsidRPr="00CF0C7D" w:rsidRDefault="00002B8D" w:rsidP="006367D1">
      <w:pPr>
        <w:rPr>
          <w:lang w:eastAsia="en-US"/>
        </w:rPr>
      </w:pPr>
      <w:r w:rsidRPr="00CF0C7D">
        <w:rPr>
          <w:lang w:eastAsia="en-US"/>
        </w:rPr>
        <w:t>Les attentes salariales suivaient une distribution à peu près normale. Plus de la moitié des participants (159; 55,2 %) s’attendaient à toucher un salaire compris entre 50 000 $ et 79 999 $ pour leur premier emploi après l’obtention de leur diplôme. Très peu de participants s’attendaient à toucher un salaire de 100 000 $ ou plus (8; 2,8 %), ou de 30 000 $ ou moins (15; 5,2 %).</w:t>
      </w:r>
    </w:p>
    <w:p w14:paraId="65A0763A" w14:textId="77777777" w:rsidR="00FC295B" w:rsidRPr="00CF0C7D" w:rsidRDefault="00FC295B" w:rsidP="006367D1">
      <w:pPr>
        <w:rPr>
          <w:lang w:eastAsia="en-US"/>
        </w:rPr>
      </w:pPr>
    </w:p>
    <w:p w14:paraId="6FFADEEF" w14:textId="1642BBD8" w:rsidR="006367D1" w:rsidRPr="00CF0C7D" w:rsidRDefault="00002B8D" w:rsidP="006367D1">
      <w:pPr>
        <w:rPr>
          <w:lang w:eastAsia="en-US"/>
        </w:rPr>
      </w:pPr>
      <w:r w:rsidRPr="00CF0C7D">
        <w:rPr>
          <w:lang w:eastAsia="en-US"/>
        </w:rPr>
        <w:t>Figure 2. Salaire prévu</w:t>
      </w:r>
    </w:p>
    <w:p w14:paraId="15858071" w14:textId="2F850052" w:rsidR="00002B8D" w:rsidRPr="00CF0C7D" w:rsidRDefault="00002B8D" w:rsidP="00002B8D">
      <w:pPr>
        <w:jc w:val="center"/>
        <w:rPr>
          <w:lang w:eastAsia="en-US"/>
        </w:rPr>
      </w:pPr>
      <w:r w:rsidRPr="00CF0C7D">
        <w:rPr>
          <w:noProof/>
        </w:rPr>
        <w:drawing>
          <wp:inline distT="0" distB="0" distL="0" distR="0" wp14:anchorId="1C6A0D01" wp14:editId="20070AAF">
            <wp:extent cx="5355431" cy="2697956"/>
            <wp:effectExtent l="0" t="0" r="17145" b="7620"/>
            <wp:docPr id="1388886545" name="Chart 1" descr="Figure 2. Salaire prévu. Diagramme à barres illustrant le salaire prévu par les participants pour leur premier emploi après l’obtention de leur diplôme. Plus de la moitié des participants s’attendaient à gagner entre 50 000 $ et 79 999 $ (159, soit 55,2 %). Très peu s’attendaient à gagner 100 000 $ ou plus (8, soit 2,8 %) ou 30 000 $ ou moins (15, soit 5,2 %). Les attentes salariales ont été décrites comme suivant approximativement une distribution normale.">
              <a:extLst xmlns:a="http://schemas.openxmlformats.org/drawingml/2006/main">
                <a:ext uri="{FF2B5EF4-FFF2-40B4-BE49-F238E27FC236}">
                  <a16:creationId xmlns:a16="http://schemas.microsoft.com/office/drawing/2014/main" id="{A7AFEA8D-E352-4344-9BB4-31CDFF8A84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035D00" w14:textId="77777777" w:rsidR="00FC295B" w:rsidRPr="00CF0C7D" w:rsidRDefault="00FC295B" w:rsidP="00002B8D">
      <w:pPr>
        <w:jc w:val="center"/>
        <w:rPr>
          <w:lang w:eastAsia="en-US"/>
        </w:rPr>
      </w:pPr>
    </w:p>
    <w:p w14:paraId="57F00E29" w14:textId="77777777" w:rsidR="00FC295B" w:rsidRPr="00CF0C7D" w:rsidRDefault="00FC295B" w:rsidP="00002B8D">
      <w:pPr>
        <w:jc w:val="center"/>
        <w:rPr>
          <w:lang w:eastAsia="en-US"/>
        </w:rPr>
      </w:pPr>
    </w:p>
    <w:p w14:paraId="7ACADF82" w14:textId="77777777" w:rsidR="00FC295B" w:rsidRPr="00CF0C7D" w:rsidRDefault="00FC295B" w:rsidP="00002B8D">
      <w:pPr>
        <w:jc w:val="center"/>
        <w:rPr>
          <w:lang w:eastAsia="en-US"/>
        </w:rPr>
      </w:pPr>
    </w:p>
    <w:p w14:paraId="21B09E8B" w14:textId="0E7F06EE" w:rsidR="00C662B6" w:rsidRPr="00CF0C7D" w:rsidRDefault="007D4E27" w:rsidP="00C662B6">
      <w:pPr>
        <w:pStyle w:val="Heading3"/>
      </w:pPr>
      <w:r w:rsidRPr="00CF0C7D">
        <w:t>Facteurs sociodémographiques et liés au handicap</w:t>
      </w:r>
    </w:p>
    <w:p w14:paraId="11952EA2" w14:textId="04FD2BC2" w:rsidR="006367D1" w:rsidRPr="00CF0C7D" w:rsidRDefault="007D4E27" w:rsidP="006367D1">
      <w:r w:rsidRPr="00CF0C7D">
        <w:t xml:space="preserve">Les coefficients de corrélation de Spearman ont été calculés afin de déterminer si les attentes variaient en fonction de critères sociodémographiques ou liés au handicap. La corrélation des </w:t>
      </w:r>
      <w:r w:rsidRPr="00CF0C7D">
        <w:lastRenderedPageBreak/>
        <w:t xml:space="preserve">rangs de Spearman est un test non paramétrique qui peut être utilisé lorsqu’au moins une variable est classée (ordinal), comme c’était le cas pour les données de réponse concernant la recherche d’emploi et les attentes salariales; elle constitue une mesure plus robuste lorsque les données ne respectent pas les hypothèses de normalité (p. ex., lorsque les données présentent une forte asymétrie). Les tableaux ci-dessous présentent les coefficients de corrélation (rho; ρ) et les valeurs </w:t>
      </w:r>
      <w:r w:rsidRPr="00CF0C7D">
        <w:rPr>
          <w:i/>
          <w:iCs/>
        </w:rPr>
        <w:t>p</w:t>
      </w:r>
      <w:r w:rsidRPr="00CF0C7D">
        <w:t xml:space="preserve"> pour les attentes en matière de recherche d’emploi et les attentes salariales par rapport aux facteurs sociodémographiques pour l’échantillon de référence.</w:t>
      </w:r>
    </w:p>
    <w:p w14:paraId="7BA3EA3D" w14:textId="77777777" w:rsidR="00FC295B" w:rsidRPr="00CF0C7D" w:rsidRDefault="00FC295B" w:rsidP="00FC295B">
      <w:r w:rsidRPr="00CF0C7D">
        <w:t>Aux fins de l’analyse de corrélation, les répondants non binaires et de genre non binaire ont été regroupés avec les femmes. De plus, une variable binaire a été créée pour la ruralité, les participants des banlieues et des milieux urbains étant regroupés en un seul groupe. Une variable binaire a également été créée pour comparer les participants appartenant à une minorité visible ou à un groupe racialisé avec ceux qui n’en faisaient pas partie.</w:t>
      </w:r>
    </w:p>
    <w:p w14:paraId="5E8050AD" w14:textId="6A120299" w:rsidR="00FC295B" w:rsidRPr="00CF0C7D" w:rsidRDefault="00FC295B" w:rsidP="006367D1">
      <w:r w:rsidRPr="00CF0C7D">
        <w:t>Dans l’ensemble, les attentes des étudiants en situation de handicap en matière de recherche d’emploi ne variaient pas de manière significative en fonction des facteurs sociodémographiques. Toutefois, le fait de prévoir une période de recherche d’emploi plus longue était faiblement corrélé à l’identité sud-asiatique. Deux facteurs liés au handicap présentaient une corrélation significative avec l’anticipation d’une recherche d’emploi plus longue : le fait de présenter un handicap lié à la santé mentale et le nombre de handicaps déclarés. Autrement dit, les étudiants présentant un handicap lié à la santé mentale et ceux présentant des handicaps multiples s’attendaient à ce que leur recherche d’emploi dure plus longtemps.</w:t>
      </w:r>
    </w:p>
    <w:p w14:paraId="5AB96195" w14:textId="77777777" w:rsidR="00FC295B" w:rsidRPr="00CF0C7D" w:rsidRDefault="00FC295B" w:rsidP="006367D1"/>
    <w:p w14:paraId="297ABF1E" w14:textId="77777777" w:rsidR="00FC295B" w:rsidRPr="00CF0C7D" w:rsidRDefault="00FC295B" w:rsidP="006367D1"/>
    <w:p w14:paraId="32345280" w14:textId="77777777" w:rsidR="00FC295B" w:rsidRPr="00CF0C7D" w:rsidRDefault="00FC295B" w:rsidP="006367D1"/>
    <w:p w14:paraId="6FD60D6C" w14:textId="77777777" w:rsidR="00FC295B" w:rsidRPr="00CF0C7D" w:rsidRDefault="00FC295B" w:rsidP="006367D1"/>
    <w:p w14:paraId="51F392AD" w14:textId="77777777" w:rsidR="00FC295B" w:rsidRPr="00CF0C7D" w:rsidRDefault="00FC295B" w:rsidP="006367D1"/>
    <w:p w14:paraId="5164073A" w14:textId="77777777" w:rsidR="00FC295B" w:rsidRPr="00CF0C7D" w:rsidRDefault="00FC295B" w:rsidP="006367D1"/>
    <w:p w14:paraId="1D926490" w14:textId="77777777" w:rsidR="00FC295B" w:rsidRPr="00CF0C7D" w:rsidRDefault="00FC295B" w:rsidP="006367D1"/>
    <w:p w14:paraId="74F325CB" w14:textId="77777777" w:rsidR="00FC295B" w:rsidRPr="00CF0C7D" w:rsidRDefault="00FC295B" w:rsidP="006367D1"/>
    <w:p w14:paraId="5AC4B706" w14:textId="77777777" w:rsidR="00FC295B" w:rsidRPr="00CF0C7D" w:rsidRDefault="00FC295B" w:rsidP="006367D1"/>
    <w:p w14:paraId="05BB76B8" w14:textId="77777777" w:rsidR="00FC295B" w:rsidRPr="00CF0C7D" w:rsidRDefault="00FC295B" w:rsidP="006367D1"/>
    <w:p w14:paraId="65187C30" w14:textId="77777777" w:rsidR="00FC295B" w:rsidRPr="00CF0C7D" w:rsidRDefault="00FC295B" w:rsidP="006367D1"/>
    <w:p w14:paraId="686CAF69" w14:textId="77777777" w:rsidR="00FC295B" w:rsidRPr="00CF0C7D" w:rsidRDefault="00FC295B" w:rsidP="006367D1"/>
    <w:p w14:paraId="03BB9DDA" w14:textId="77777777" w:rsidR="00FC295B" w:rsidRPr="00CF0C7D" w:rsidRDefault="00FC295B" w:rsidP="006367D1"/>
    <w:p w14:paraId="4CD26BE1" w14:textId="77777777" w:rsidR="00FC295B" w:rsidRPr="00CF0C7D" w:rsidRDefault="00FC295B" w:rsidP="006367D1"/>
    <w:p w14:paraId="61C90675" w14:textId="77777777" w:rsidR="00FC295B" w:rsidRPr="00CF0C7D" w:rsidRDefault="00FC295B" w:rsidP="006367D1"/>
    <w:p w14:paraId="22944A67" w14:textId="77777777" w:rsidR="00FC295B" w:rsidRPr="00CF0C7D" w:rsidRDefault="00FC295B" w:rsidP="006367D1"/>
    <w:p w14:paraId="78611869" w14:textId="77777777" w:rsidR="00FC295B" w:rsidRPr="00CF0C7D" w:rsidRDefault="00FC295B" w:rsidP="006367D1"/>
    <w:p w14:paraId="4D5FC65A" w14:textId="17588503" w:rsidR="006E272C" w:rsidRPr="00CF0C7D" w:rsidRDefault="007D4E27" w:rsidP="006367D1">
      <w:r w:rsidRPr="00CF0C7D">
        <w:lastRenderedPageBreak/>
        <w:t>Tableau 3. Coefficients de corrélation de Spearman entre les attentes en matière de recherche d’emploi et les variables sociodémographiques et liées au handicap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3. Coefficients de corrélation de Spearman entre les attentes en matière de recherche d’emploi et les variables sociodémographiques et liées au handicap"/>
        <w:tblDescription w:val="Tableau à quatre colonnes présentant les variables sociodémographiques et liées au handicap, ainsi que les coefficients de corrélation de Spearman et les valeurs p pour les attentes en matière de recherche d’emploi. La santé mentale présente la corrélation positive la plus forte avec une durée prévue de recherche d’emploi plus longue (rho = 0,20, p = 0,001), suivie de l’identité sud-asiatique (rho = 0,18, p = 0,002) et du nombre de handicaps (rho = 0,18, p = 0,003). Toutes les autres variables ne sont pas statistiquement significatives : l’âge (0,05, 0,38), le sexe (0,01, 0,90), l’appartenance à la communauté 2SLGBTQ+ (0,01, 0,92), le milieu rural (0,00, 0,95), le statut d’étudiant international (-0,07, 0,27), l’appartenance autochtone (-0,02, 0,80), Canadien de race noire (-0,05, 0,42), d’Asie de l’Est (0,04, 0,49), latino/latina/latinx (-0,04, 0,54), du Moyen-Orient, d’Afrique du Nord ou d’Asie de l’Ouest (-0,02, 0,79), d’Asie du Sud-Est (-0,06, 0,33), Blanc (-0,04, 0,49), minorité visible (0,04, 0,48), handicap non apparent (-0,03, 0,70), d’apprentissage (0,06, 0,32), médical (0,02, 0,69), sensoriel (-0,05, 0,42), de mobilité/agilité (0,09; 0,13), de développement (0,01; 0,92), de communication (-0,01; 0,91), de motricité/dextérité (0,06; 0,35) et intellectuels (0,06; 0,30). Une note indique les seuils de signification de p inférieur à 0,05, p inférieur à 0,01 et p inférieur à 0,001."/>
      </w:tblPr>
      <w:tblGrid>
        <w:gridCol w:w="2637"/>
        <w:gridCol w:w="4838"/>
        <w:gridCol w:w="986"/>
        <w:gridCol w:w="1024"/>
      </w:tblGrid>
      <w:tr w:rsidR="006E272C" w:rsidRPr="00CF0C7D" w14:paraId="2BA3103E" w14:textId="7AF94D2C" w:rsidTr="006247FF">
        <w:tc>
          <w:tcPr>
            <w:tcW w:w="2677" w:type="dxa"/>
            <w:tcBorders>
              <w:top w:val="single" w:sz="4" w:space="0" w:color="auto"/>
              <w:bottom w:val="single" w:sz="4" w:space="0" w:color="auto"/>
            </w:tcBorders>
          </w:tcPr>
          <w:p w14:paraId="0453A204" w14:textId="77777777" w:rsidR="006E272C" w:rsidRPr="00CF0C7D" w:rsidRDefault="006E272C" w:rsidP="006E272C"/>
        </w:tc>
        <w:tc>
          <w:tcPr>
            <w:tcW w:w="4918" w:type="dxa"/>
            <w:tcBorders>
              <w:top w:val="single" w:sz="4" w:space="0" w:color="auto"/>
              <w:bottom w:val="single" w:sz="4" w:space="0" w:color="auto"/>
            </w:tcBorders>
          </w:tcPr>
          <w:p w14:paraId="177B2954" w14:textId="77777777" w:rsidR="006E272C" w:rsidRPr="00CF0C7D" w:rsidRDefault="006E272C" w:rsidP="006E272C"/>
        </w:tc>
        <w:tc>
          <w:tcPr>
            <w:tcW w:w="988" w:type="dxa"/>
            <w:tcBorders>
              <w:top w:val="single" w:sz="4" w:space="0" w:color="auto"/>
              <w:bottom w:val="single" w:sz="4" w:space="0" w:color="auto"/>
            </w:tcBorders>
          </w:tcPr>
          <w:p w14:paraId="6AED45FE" w14:textId="09D7470E" w:rsidR="006E272C" w:rsidRPr="00CF0C7D" w:rsidRDefault="006E272C" w:rsidP="006E272C">
            <w:r w:rsidRPr="00CF0C7D">
              <w:t>rho (ρ)</w:t>
            </w:r>
          </w:p>
        </w:tc>
        <w:tc>
          <w:tcPr>
            <w:tcW w:w="902" w:type="dxa"/>
            <w:tcBorders>
              <w:top w:val="single" w:sz="4" w:space="0" w:color="auto"/>
              <w:bottom w:val="single" w:sz="4" w:space="0" w:color="auto"/>
            </w:tcBorders>
          </w:tcPr>
          <w:p w14:paraId="49127FF4" w14:textId="22CDAC78" w:rsidR="006E272C" w:rsidRPr="00CF0C7D" w:rsidRDefault="006E272C" w:rsidP="006E272C">
            <w:r w:rsidRPr="00CF0C7D">
              <w:rPr>
                <w:i/>
                <w:iCs/>
              </w:rPr>
              <w:t>p</w:t>
            </w:r>
          </w:p>
        </w:tc>
      </w:tr>
      <w:tr w:rsidR="006E272C" w:rsidRPr="00CF0C7D" w14:paraId="4E058AA2" w14:textId="65C38DED" w:rsidTr="006247FF">
        <w:tc>
          <w:tcPr>
            <w:tcW w:w="2677" w:type="dxa"/>
            <w:tcBorders>
              <w:top w:val="single" w:sz="4" w:space="0" w:color="auto"/>
            </w:tcBorders>
          </w:tcPr>
          <w:p w14:paraId="29B2F4D0" w14:textId="49BE891C" w:rsidR="006E272C" w:rsidRPr="00CF0C7D" w:rsidRDefault="007D4E27" w:rsidP="006367D1">
            <w:r w:rsidRPr="00CF0C7D">
              <w:t>Attentes en matière de recherche d’emploi</w:t>
            </w:r>
          </w:p>
        </w:tc>
        <w:tc>
          <w:tcPr>
            <w:tcW w:w="4918" w:type="dxa"/>
            <w:tcBorders>
              <w:top w:val="single" w:sz="4" w:space="0" w:color="auto"/>
            </w:tcBorders>
          </w:tcPr>
          <w:p w14:paraId="5166A4AE" w14:textId="0575077E" w:rsidR="006E272C" w:rsidRPr="00CF0C7D" w:rsidRDefault="007D4E27" w:rsidP="006367D1">
            <w:r w:rsidRPr="00CF0C7D">
              <w:t>Âge</w:t>
            </w:r>
          </w:p>
        </w:tc>
        <w:tc>
          <w:tcPr>
            <w:tcW w:w="988" w:type="dxa"/>
            <w:tcBorders>
              <w:top w:val="single" w:sz="4" w:space="0" w:color="auto"/>
            </w:tcBorders>
          </w:tcPr>
          <w:p w14:paraId="69C88E3C" w14:textId="6EB6347C" w:rsidR="006E272C" w:rsidRPr="00CF0C7D" w:rsidRDefault="006E272C" w:rsidP="006367D1">
            <w:r w:rsidRPr="00CF0C7D">
              <w:t>0</w:t>
            </w:r>
            <w:r w:rsidR="000B7D66" w:rsidRPr="00CF0C7D">
              <w:t>,</w:t>
            </w:r>
            <w:r w:rsidRPr="00CF0C7D">
              <w:t>05</w:t>
            </w:r>
          </w:p>
        </w:tc>
        <w:tc>
          <w:tcPr>
            <w:tcW w:w="902" w:type="dxa"/>
            <w:tcBorders>
              <w:top w:val="single" w:sz="4" w:space="0" w:color="auto"/>
            </w:tcBorders>
          </w:tcPr>
          <w:p w14:paraId="1A28B895" w14:textId="45DBE763" w:rsidR="006E272C" w:rsidRPr="00CF0C7D" w:rsidRDefault="000B7D66" w:rsidP="006367D1">
            <w:r w:rsidRPr="00CF0C7D">
              <w:t>0,</w:t>
            </w:r>
            <w:r w:rsidR="006E272C" w:rsidRPr="00CF0C7D">
              <w:t>38</w:t>
            </w:r>
          </w:p>
        </w:tc>
      </w:tr>
      <w:tr w:rsidR="006E272C" w:rsidRPr="00CF0C7D" w14:paraId="54E4F993" w14:textId="273DECCB" w:rsidTr="006247FF">
        <w:tc>
          <w:tcPr>
            <w:tcW w:w="2677" w:type="dxa"/>
          </w:tcPr>
          <w:p w14:paraId="45A445D6" w14:textId="77777777" w:rsidR="006E272C" w:rsidRPr="00CF0C7D" w:rsidRDefault="006E272C" w:rsidP="006367D1"/>
        </w:tc>
        <w:tc>
          <w:tcPr>
            <w:tcW w:w="4918" w:type="dxa"/>
          </w:tcPr>
          <w:p w14:paraId="4A180C8A" w14:textId="68BFBCA3" w:rsidR="006E272C" w:rsidRPr="00CF0C7D" w:rsidRDefault="006E272C" w:rsidP="006367D1">
            <w:r w:rsidRPr="00CF0C7D">
              <w:t>Gen</w:t>
            </w:r>
            <w:r w:rsidR="007D4E27" w:rsidRPr="00CF0C7D">
              <w:t>re</w:t>
            </w:r>
          </w:p>
        </w:tc>
        <w:tc>
          <w:tcPr>
            <w:tcW w:w="988" w:type="dxa"/>
          </w:tcPr>
          <w:p w14:paraId="17A5F642" w14:textId="1E618BC0" w:rsidR="006E272C" w:rsidRPr="00CF0C7D" w:rsidRDefault="000B7D66" w:rsidP="006367D1">
            <w:r w:rsidRPr="00CF0C7D">
              <w:t>0,</w:t>
            </w:r>
            <w:r w:rsidR="006E272C" w:rsidRPr="00CF0C7D">
              <w:t>01</w:t>
            </w:r>
          </w:p>
        </w:tc>
        <w:tc>
          <w:tcPr>
            <w:tcW w:w="902" w:type="dxa"/>
          </w:tcPr>
          <w:p w14:paraId="0DB1F839" w14:textId="2048A7FE" w:rsidR="006E272C" w:rsidRPr="00CF0C7D" w:rsidRDefault="000B7D66" w:rsidP="006367D1">
            <w:r w:rsidRPr="00CF0C7D">
              <w:t>0,</w:t>
            </w:r>
            <w:r w:rsidR="006E272C" w:rsidRPr="00CF0C7D">
              <w:t>90</w:t>
            </w:r>
          </w:p>
        </w:tc>
      </w:tr>
      <w:tr w:rsidR="006E272C" w:rsidRPr="00CF0C7D" w14:paraId="4310A3B2" w14:textId="7F8C5954" w:rsidTr="006247FF">
        <w:tc>
          <w:tcPr>
            <w:tcW w:w="2677" w:type="dxa"/>
          </w:tcPr>
          <w:p w14:paraId="6F474DB2" w14:textId="77777777" w:rsidR="006E272C" w:rsidRPr="00CF0C7D" w:rsidRDefault="006E272C" w:rsidP="006367D1"/>
        </w:tc>
        <w:tc>
          <w:tcPr>
            <w:tcW w:w="4918" w:type="dxa"/>
          </w:tcPr>
          <w:p w14:paraId="1D7CA8F1" w14:textId="129A8F53" w:rsidR="006E272C" w:rsidRPr="00CF0C7D" w:rsidRDefault="006E272C" w:rsidP="006367D1">
            <w:r w:rsidRPr="00CF0C7D">
              <w:t>2SLGBTQ+</w:t>
            </w:r>
          </w:p>
        </w:tc>
        <w:tc>
          <w:tcPr>
            <w:tcW w:w="988" w:type="dxa"/>
          </w:tcPr>
          <w:p w14:paraId="5269E204" w14:textId="1F3AFB60" w:rsidR="006E272C" w:rsidRPr="00CF0C7D" w:rsidRDefault="000B7D66" w:rsidP="006367D1">
            <w:r w:rsidRPr="00CF0C7D">
              <w:t>0,</w:t>
            </w:r>
            <w:r w:rsidR="006E272C" w:rsidRPr="00CF0C7D">
              <w:t>01</w:t>
            </w:r>
          </w:p>
        </w:tc>
        <w:tc>
          <w:tcPr>
            <w:tcW w:w="902" w:type="dxa"/>
          </w:tcPr>
          <w:p w14:paraId="464BD550" w14:textId="4CF8FE43" w:rsidR="006E272C" w:rsidRPr="00CF0C7D" w:rsidRDefault="000B7D66" w:rsidP="006367D1">
            <w:r w:rsidRPr="00CF0C7D">
              <w:t>0,</w:t>
            </w:r>
            <w:r w:rsidR="006E272C" w:rsidRPr="00CF0C7D">
              <w:t>92</w:t>
            </w:r>
          </w:p>
        </w:tc>
      </w:tr>
      <w:tr w:rsidR="006E272C" w:rsidRPr="00CF0C7D" w14:paraId="1E6C6143" w14:textId="66434A2F" w:rsidTr="006247FF">
        <w:tc>
          <w:tcPr>
            <w:tcW w:w="2677" w:type="dxa"/>
          </w:tcPr>
          <w:p w14:paraId="7064C13F" w14:textId="77777777" w:rsidR="006E272C" w:rsidRPr="00CF0C7D" w:rsidRDefault="006E272C" w:rsidP="006367D1"/>
        </w:tc>
        <w:tc>
          <w:tcPr>
            <w:tcW w:w="4918" w:type="dxa"/>
          </w:tcPr>
          <w:p w14:paraId="64568911" w14:textId="5575F089" w:rsidR="006E272C" w:rsidRPr="00CF0C7D" w:rsidRDefault="007D4E27" w:rsidP="006367D1">
            <w:r w:rsidRPr="00CF0C7D">
              <w:t>Milieu rural</w:t>
            </w:r>
          </w:p>
        </w:tc>
        <w:tc>
          <w:tcPr>
            <w:tcW w:w="988" w:type="dxa"/>
          </w:tcPr>
          <w:p w14:paraId="66D542B1" w14:textId="34CA5550" w:rsidR="006E272C" w:rsidRPr="00CF0C7D" w:rsidRDefault="000B7D66" w:rsidP="006367D1">
            <w:r w:rsidRPr="00CF0C7D">
              <w:t>0,</w:t>
            </w:r>
            <w:r w:rsidR="006E272C" w:rsidRPr="00CF0C7D">
              <w:t>00</w:t>
            </w:r>
          </w:p>
        </w:tc>
        <w:tc>
          <w:tcPr>
            <w:tcW w:w="902" w:type="dxa"/>
          </w:tcPr>
          <w:p w14:paraId="3E81CB09" w14:textId="073F21DE" w:rsidR="006E272C" w:rsidRPr="00CF0C7D" w:rsidRDefault="000B7D66" w:rsidP="006367D1">
            <w:r w:rsidRPr="00CF0C7D">
              <w:t>0,</w:t>
            </w:r>
            <w:r w:rsidR="006E272C" w:rsidRPr="00CF0C7D">
              <w:t>95</w:t>
            </w:r>
          </w:p>
        </w:tc>
      </w:tr>
      <w:tr w:rsidR="006E272C" w:rsidRPr="00CF0C7D" w14:paraId="3B3E4E25" w14:textId="1456E992" w:rsidTr="006247FF">
        <w:tc>
          <w:tcPr>
            <w:tcW w:w="2677" w:type="dxa"/>
          </w:tcPr>
          <w:p w14:paraId="3EDBFC77" w14:textId="77777777" w:rsidR="006E272C" w:rsidRPr="00CF0C7D" w:rsidRDefault="006E272C" w:rsidP="006367D1"/>
        </w:tc>
        <w:tc>
          <w:tcPr>
            <w:tcW w:w="4918" w:type="dxa"/>
          </w:tcPr>
          <w:p w14:paraId="187132C1" w14:textId="4F9421A3" w:rsidR="006E272C" w:rsidRPr="00CF0C7D" w:rsidRDefault="007D4E27" w:rsidP="006367D1">
            <w:r w:rsidRPr="00CF0C7D">
              <w:t>Étudiant international</w:t>
            </w:r>
          </w:p>
        </w:tc>
        <w:tc>
          <w:tcPr>
            <w:tcW w:w="988" w:type="dxa"/>
          </w:tcPr>
          <w:p w14:paraId="49B4E191" w14:textId="5137A3D2" w:rsidR="006E272C" w:rsidRPr="00CF0C7D" w:rsidRDefault="00B1000A" w:rsidP="006367D1">
            <w:r w:rsidRPr="00CF0C7D">
              <w:t>-</w:t>
            </w:r>
            <w:r w:rsidR="000B7D66" w:rsidRPr="00CF0C7D">
              <w:t>0,</w:t>
            </w:r>
            <w:r w:rsidRPr="00CF0C7D">
              <w:t>07</w:t>
            </w:r>
          </w:p>
        </w:tc>
        <w:tc>
          <w:tcPr>
            <w:tcW w:w="902" w:type="dxa"/>
          </w:tcPr>
          <w:p w14:paraId="654B3C96" w14:textId="1C02E6BE" w:rsidR="006E272C" w:rsidRPr="00CF0C7D" w:rsidRDefault="000B7D66" w:rsidP="006367D1">
            <w:r w:rsidRPr="00CF0C7D">
              <w:t>0,</w:t>
            </w:r>
            <w:r w:rsidR="00B1000A" w:rsidRPr="00CF0C7D">
              <w:t>27</w:t>
            </w:r>
          </w:p>
        </w:tc>
      </w:tr>
      <w:tr w:rsidR="006E272C" w:rsidRPr="00CF0C7D" w14:paraId="7C4DDBD7" w14:textId="77777777" w:rsidTr="006247FF">
        <w:tc>
          <w:tcPr>
            <w:tcW w:w="2677" w:type="dxa"/>
          </w:tcPr>
          <w:p w14:paraId="71DBEA89" w14:textId="77777777" w:rsidR="006E272C" w:rsidRPr="00CF0C7D" w:rsidRDefault="006E272C" w:rsidP="006367D1"/>
        </w:tc>
        <w:tc>
          <w:tcPr>
            <w:tcW w:w="4918" w:type="dxa"/>
          </w:tcPr>
          <w:p w14:paraId="1CC17F1C" w14:textId="4F1DE5AB" w:rsidR="006E272C" w:rsidRPr="00CF0C7D" w:rsidRDefault="006F2E7D" w:rsidP="006367D1">
            <w:r w:rsidRPr="006F2E7D">
              <w:t>Premières Nations, Inuit et Métis o</w:t>
            </w:r>
            <w:r w:rsidR="00D25C00">
              <w:t>u</w:t>
            </w:r>
            <w:r w:rsidRPr="006F2E7D">
              <w:t xml:space="preserve"> personnes autochtones au Canada</w:t>
            </w:r>
          </w:p>
        </w:tc>
        <w:tc>
          <w:tcPr>
            <w:tcW w:w="988" w:type="dxa"/>
          </w:tcPr>
          <w:p w14:paraId="46361A08" w14:textId="5E948D3F" w:rsidR="006E272C" w:rsidRPr="00CF0C7D" w:rsidRDefault="00B1000A" w:rsidP="006367D1">
            <w:r w:rsidRPr="00CF0C7D">
              <w:t>-</w:t>
            </w:r>
            <w:r w:rsidR="000B7D66" w:rsidRPr="00CF0C7D">
              <w:t>0,</w:t>
            </w:r>
            <w:r w:rsidRPr="00CF0C7D">
              <w:t>02</w:t>
            </w:r>
          </w:p>
        </w:tc>
        <w:tc>
          <w:tcPr>
            <w:tcW w:w="902" w:type="dxa"/>
          </w:tcPr>
          <w:p w14:paraId="24917BFA" w14:textId="365AB721" w:rsidR="006E272C" w:rsidRPr="00CF0C7D" w:rsidRDefault="000B7D66" w:rsidP="006367D1">
            <w:r w:rsidRPr="00CF0C7D">
              <w:t>0,</w:t>
            </w:r>
            <w:r w:rsidR="00B1000A" w:rsidRPr="00CF0C7D">
              <w:t>80</w:t>
            </w:r>
          </w:p>
        </w:tc>
      </w:tr>
      <w:tr w:rsidR="006E272C" w:rsidRPr="00CF0C7D" w14:paraId="179BB6F4" w14:textId="77777777" w:rsidTr="006247FF">
        <w:tc>
          <w:tcPr>
            <w:tcW w:w="2677" w:type="dxa"/>
          </w:tcPr>
          <w:p w14:paraId="383ED32F" w14:textId="77777777" w:rsidR="006E272C" w:rsidRPr="00CF0C7D" w:rsidRDefault="006E272C" w:rsidP="006367D1"/>
        </w:tc>
        <w:tc>
          <w:tcPr>
            <w:tcW w:w="4918" w:type="dxa"/>
          </w:tcPr>
          <w:p w14:paraId="5D3885EB" w14:textId="521FDD77" w:rsidR="006E272C" w:rsidRPr="00CF0C7D" w:rsidRDefault="006F2E7D" w:rsidP="006367D1">
            <w:r>
              <w:t>P</w:t>
            </w:r>
            <w:r w:rsidRPr="006F2E7D">
              <w:t>ersonnes noires au Canada</w:t>
            </w:r>
          </w:p>
        </w:tc>
        <w:tc>
          <w:tcPr>
            <w:tcW w:w="988" w:type="dxa"/>
          </w:tcPr>
          <w:p w14:paraId="5C766C06" w14:textId="03FBA18D" w:rsidR="006E272C" w:rsidRPr="00CF0C7D" w:rsidRDefault="00B1000A" w:rsidP="006367D1">
            <w:r w:rsidRPr="00CF0C7D">
              <w:t>-</w:t>
            </w:r>
            <w:r w:rsidR="000B7D66" w:rsidRPr="00CF0C7D">
              <w:t>0,</w:t>
            </w:r>
            <w:r w:rsidRPr="00CF0C7D">
              <w:t>05</w:t>
            </w:r>
          </w:p>
        </w:tc>
        <w:tc>
          <w:tcPr>
            <w:tcW w:w="902" w:type="dxa"/>
          </w:tcPr>
          <w:p w14:paraId="461B1259" w14:textId="513037FE" w:rsidR="006E272C" w:rsidRPr="00CF0C7D" w:rsidRDefault="000B7D66" w:rsidP="006367D1">
            <w:r w:rsidRPr="00CF0C7D">
              <w:t>0,</w:t>
            </w:r>
            <w:r w:rsidR="00B1000A" w:rsidRPr="00CF0C7D">
              <w:t>42</w:t>
            </w:r>
          </w:p>
        </w:tc>
      </w:tr>
      <w:tr w:rsidR="006E272C" w:rsidRPr="00CF0C7D" w14:paraId="15F753EC" w14:textId="77777777" w:rsidTr="006247FF">
        <w:tc>
          <w:tcPr>
            <w:tcW w:w="2677" w:type="dxa"/>
          </w:tcPr>
          <w:p w14:paraId="21FA62C4" w14:textId="77777777" w:rsidR="006E272C" w:rsidRPr="00CF0C7D" w:rsidRDefault="006E272C" w:rsidP="006367D1"/>
        </w:tc>
        <w:tc>
          <w:tcPr>
            <w:tcW w:w="4918" w:type="dxa"/>
          </w:tcPr>
          <w:p w14:paraId="1DABAFFA" w14:textId="5FA18D7C" w:rsidR="006E272C" w:rsidRPr="00CF0C7D" w:rsidRDefault="00E74A8A" w:rsidP="006367D1">
            <w:r>
              <w:t>P</w:t>
            </w:r>
            <w:r w:rsidRPr="00E74A8A">
              <w:t>ersonnes d’origine est-asiatique</w:t>
            </w:r>
          </w:p>
        </w:tc>
        <w:tc>
          <w:tcPr>
            <w:tcW w:w="988" w:type="dxa"/>
          </w:tcPr>
          <w:p w14:paraId="5E8ADB31" w14:textId="677154C5" w:rsidR="006E272C" w:rsidRPr="00CF0C7D" w:rsidRDefault="000B7D66" w:rsidP="006367D1">
            <w:r w:rsidRPr="00CF0C7D">
              <w:t>0,</w:t>
            </w:r>
            <w:r w:rsidR="00B1000A" w:rsidRPr="00CF0C7D">
              <w:t>04</w:t>
            </w:r>
          </w:p>
        </w:tc>
        <w:tc>
          <w:tcPr>
            <w:tcW w:w="902" w:type="dxa"/>
          </w:tcPr>
          <w:p w14:paraId="1007CAAF" w14:textId="41E0DE4B" w:rsidR="006E272C" w:rsidRPr="00CF0C7D" w:rsidRDefault="000B7D66" w:rsidP="006367D1">
            <w:r w:rsidRPr="00CF0C7D">
              <w:t>0,</w:t>
            </w:r>
            <w:r w:rsidR="00B1000A" w:rsidRPr="00CF0C7D">
              <w:t>49</w:t>
            </w:r>
          </w:p>
        </w:tc>
      </w:tr>
      <w:tr w:rsidR="006E272C" w:rsidRPr="00CF0C7D" w14:paraId="6DF070CB" w14:textId="77777777" w:rsidTr="006247FF">
        <w:tc>
          <w:tcPr>
            <w:tcW w:w="2677" w:type="dxa"/>
          </w:tcPr>
          <w:p w14:paraId="3B2AACF6" w14:textId="77777777" w:rsidR="006E272C" w:rsidRPr="00CF0C7D" w:rsidRDefault="006E272C" w:rsidP="006367D1"/>
        </w:tc>
        <w:tc>
          <w:tcPr>
            <w:tcW w:w="4918" w:type="dxa"/>
          </w:tcPr>
          <w:p w14:paraId="6F3A1A8D" w14:textId="36DA0873" w:rsidR="006E272C" w:rsidRPr="00CF0C7D" w:rsidRDefault="00DC156C" w:rsidP="006367D1">
            <w:r>
              <w:t>P</w:t>
            </w:r>
            <w:r w:rsidRPr="00DC156C">
              <w:t>ersonnes latino-américaines</w:t>
            </w:r>
          </w:p>
        </w:tc>
        <w:tc>
          <w:tcPr>
            <w:tcW w:w="988" w:type="dxa"/>
          </w:tcPr>
          <w:p w14:paraId="2319947A" w14:textId="01CDEC67" w:rsidR="006E272C" w:rsidRPr="00CF0C7D" w:rsidRDefault="00B1000A" w:rsidP="006367D1">
            <w:r w:rsidRPr="00CF0C7D">
              <w:t>-</w:t>
            </w:r>
            <w:r w:rsidR="000B7D66" w:rsidRPr="00CF0C7D">
              <w:t>0,</w:t>
            </w:r>
            <w:r w:rsidRPr="00CF0C7D">
              <w:t>04</w:t>
            </w:r>
          </w:p>
        </w:tc>
        <w:tc>
          <w:tcPr>
            <w:tcW w:w="902" w:type="dxa"/>
          </w:tcPr>
          <w:p w14:paraId="2761CC89" w14:textId="6ABCC6F9" w:rsidR="006E272C" w:rsidRPr="00CF0C7D" w:rsidRDefault="000B7D66" w:rsidP="006367D1">
            <w:r w:rsidRPr="00CF0C7D">
              <w:t>0,</w:t>
            </w:r>
            <w:r w:rsidR="00B1000A" w:rsidRPr="00CF0C7D">
              <w:t>54</w:t>
            </w:r>
          </w:p>
        </w:tc>
      </w:tr>
      <w:tr w:rsidR="006E272C" w:rsidRPr="00CF0C7D" w14:paraId="4DAE5080" w14:textId="77777777" w:rsidTr="006247FF">
        <w:tc>
          <w:tcPr>
            <w:tcW w:w="2677" w:type="dxa"/>
          </w:tcPr>
          <w:p w14:paraId="64446DA1" w14:textId="77777777" w:rsidR="006E272C" w:rsidRPr="00CF0C7D" w:rsidRDefault="006E272C" w:rsidP="006367D1"/>
        </w:tc>
        <w:tc>
          <w:tcPr>
            <w:tcW w:w="4918" w:type="dxa"/>
          </w:tcPr>
          <w:p w14:paraId="302E94E7" w14:textId="2E6913EF" w:rsidR="006E272C" w:rsidRPr="00CF0C7D" w:rsidRDefault="00E74A8A" w:rsidP="006367D1">
            <w:r>
              <w:t>P</w:t>
            </w:r>
            <w:r w:rsidRPr="00E74A8A">
              <w:t xml:space="preserve">ersonnes d’origine </w:t>
            </w:r>
            <w:r>
              <w:t xml:space="preserve">du </w:t>
            </w:r>
            <w:r w:rsidR="006247FF" w:rsidRPr="00CF0C7D">
              <w:t>Moyen-Orient, d’Afrique du Nord ou d’Asie de l’Ouest</w:t>
            </w:r>
          </w:p>
        </w:tc>
        <w:tc>
          <w:tcPr>
            <w:tcW w:w="988" w:type="dxa"/>
          </w:tcPr>
          <w:p w14:paraId="06132C7A" w14:textId="53F2CEEF" w:rsidR="006E272C" w:rsidRPr="00CF0C7D" w:rsidRDefault="00B1000A" w:rsidP="006367D1">
            <w:r w:rsidRPr="00CF0C7D">
              <w:t>-</w:t>
            </w:r>
            <w:r w:rsidR="000B7D66" w:rsidRPr="00CF0C7D">
              <w:t>0,</w:t>
            </w:r>
            <w:r w:rsidRPr="00CF0C7D">
              <w:t>02</w:t>
            </w:r>
          </w:p>
        </w:tc>
        <w:tc>
          <w:tcPr>
            <w:tcW w:w="902" w:type="dxa"/>
          </w:tcPr>
          <w:p w14:paraId="289DED88" w14:textId="672A3597" w:rsidR="006E272C" w:rsidRPr="00CF0C7D" w:rsidRDefault="000B7D66" w:rsidP="006367D1">
            <w:r w:rsidRPr="00CF0C7D">
              <w:t>0,</w:t>
            </w:r>
            <w:r w:rsidR="00B1000A" w:rsidRPr="00CF0C7D">
              <w:t>79</w:t>
            </w:r>
          </w:p>
        </w:tc>
      </w:tr>
      <w:tr w:rsidR="00162C14" w:rsidRPr="00CF0C7D" w14:paraId="6090598E" w14:textId="77777777" w:rsidTr="006247FF">
        <w:tc>
          <w:tcPr>
            <w:tcW w:w="2677" w:type="dxa"/>
          </w:tcPr>
          <w:p w14:paraId="6B772601" w14:textId="77777777" w:rsidR="00162C14" w:rsidRPr="00CF0C7D" w:rsidRDefault="00162C14" w:rsidP="00162C14"/>
        </w:tc>
        <w:tc>
          <w:tcPr>
            <w:tcW w:w="4918" w:type="dxa"/>
          </w:tcPr>
          <w:p w14:paraId="54F9EAAD" w14:textId="1A31612C" w:rsidR="00162C14" w:rsidRPr="00CF0C7D" w:rsidRDefault="00E74A8A" w:rsidP="00162C14">
            <w:pPr>
              <w:rPr>
                <w:b/>
                <w:bCs/>
              </w:rPr>
            </w:pPr>
            <w:r w:rsidRPr="00E74A8A">
              <w:rPr>
                <w:b/>
                <w:bCs/>
              </w:rPr>
              <w:t>Personnes d’origine</w:t>
            </w:r>
            <w:r w:rsidR="006247FF" w:rsidRPr="00CF0C7D">
              <w:rPr>
                <w:b/>
                <w:bCs/>
              </w:rPr>
              <w:t xml:space="preserve"> sud-asiatique</w:t>
            </w:r>
          </w:p>
        </w:tc>
        <w:tc>
          <w:tcPr>
            <w:tcW w:w="988" w:type="dxa"/>
          </w:tcPr>
          <w:p w14:paraId="12ACC17F" w14:textId="24F9846A" w:rsidR="00162C14" w:rsidRPr="00CF0C7D" w:rsidRDefault="000B7D66" w:rsidP="00162C14">
            <w:pPr>
              <w:rPr>
                <w:b/>
                <w:bCs/>
              </w:rPr>
            </w:pPr>
            <w:r w:rsidRPr="00CF0C7D">
              <w:rPr>
                <w:b/>
                <w:bCs/>
              </w:rPr>
              <w:t>0,</w:t>
            </w:r>
            <w:r w:rsidR="00B1000A" w:rsidRPr="00CF0C7D">
              <w:rPr>
                <w:b/>
                <w:bCs/>
              </w:rPr>
              <w:t>18***</w:t>
            </w:r>
          </w:p>
        </w:tc>
        <w:tc>
          <w:tcPr>
            <w:tcW w:w="902" w:type="dxa"/>
          </w:tcPr>
          <w:p w14:paraId="0887E607" w14:textId="7C35850B" w:rsidR="00162C14" w:rsidRPr="00CF0C7D" w:rsidRDefault="000B7D66" w:rsidP="00162C14">
            <w:pPr>
              <w:rPr>
                <w:b/>
                <w:bCs/>
              </w:rPr>
            </w:pPr>
            <w:r w:rsidRPr="00CF0C7D">
              <w:rPr>
                <w:b/>
                <w:bCs/>
              </w:rPr>
              <w:t>,</w:t>
            </w:r>
            <w:r w:rsidR="00B1000A" w:rsidRPr="00CF0C7D">
              <w:rPr>
                <w:b/>
                <w:bCs/>
              </w:rPr>
              <w:t>00</w:t>
            </w:r>
            <w:r w:rsidR="00C136A0" w:rsidRPr="00CF0C7D">
              <w:rPr>
                <w:b/>
                <w:bCs/>
              </w:rPr>
              <w:t>2</w:t>
            </w:r>
          </w:p>
        </w:tc>
      </w:tr>
      <w:tr w:rsidR="00162C14" w:rsidRPr="00CF0C7D" w14:paraId="16B83DB4" w14:textId="77777777" w:rsidTr="006247FF">
        <w:tc>
          <w:tcPr>
            <w:tcW w:w="2677" w:type="dxa"/>
          </w:tcPr>
          <w:p w14:paraId="162A1B4E" w14:textId="77777777" w:rsidR="00162C14" w:rsidRPr="00CF0C7D" w:rsidRDefault="00162C14" w:rsidP="00162C14"/>
        </w:tc>
        <w:tc>
          <w:tcPr>
            <w:tcW w:w="4918" w:type="dxa"/>
          </w:tcPr>
          <w:p w14:paraId="68662E64" w14:textId="34C16CDD" w:rsidR="00162C14" w:rsidRPr="00CF0C7D" w:rsidRDefault="00E74A8A" w:rsidP="00162C14">
            <w:r>
              <w:t>P</w:t>
            </w:r>
            <w:r w:rsidRPr="00E74A8A">
              <w:t>ersonnes d’origine</w:t>
            </w:r>
            <w:r w:rsidR="006247FF" w:rsidRPr="00CF0C7D">
              <w:t xml:space="preserve"> sud-est-asiatique</w:t>
            </w:r>
          </w:p>
        </w:tc>
        <w:tc>
          <w:tcPr>
            <w:tcW w:w="988" w:type="dxa"/>
          </w:tcPr>
          <w:p w14:paraId="330E8EDE" w14:textId="13599BF8" w:rsidR="00162C14" w:rsidRPr="00CF0C7D" w:rsidRDefault="00B1000A" w:rsidP="00162C14">
            <w:r w:rsidRPr="00CF0C7D">
              <w:t>-</w:t>
            </w:r>
            <w:r w:rsidR="000B7D66" w:rsidRPr="00CF0C7D">
              <w:t>0,</w:t>
            </w:r>
            <w:r w:rsidRPr="00CF0C7D">
              <w:t>06</w:t>
            </w:r>
          </w:p>
        </w:tc>
        <w:tc>
          <w:tcPr>
            <w:tcW w:w="902" w:type="dxa"/>
          </w:tcPr>
          <w:p w14:paraId="508B9AA3" w14:textId="5956DAB7" w:rsidR="00162C14" w:rsidRPr="00CF0C7D" w:rsidRDefault="000B7D66" w:rsidP="00162C14">
            <w:r w:rsidRPr="00CF0C7D">
              <w:t>0,</w:t>
            </w:r>
            <w:r w:rsidR="00B1000A" w:rsidRPr="00CF0C7D">
              <w:t>33</w:t>
            </w:r>
          </w:p>
        </w:tc>
      </w:tr>
      <w:tr w:rsidR="00162C14" w:rsidRPr="00CF0C7D" w14:paraId="334805FD" w14:textId="77777777" w:rsidTr="006247FF">
        <w:tc>
          <w:tcPr>
            <w:tcW w:w="2677" w:type="dxa"/>
          </w:tcPr>
          <w:p w14:paraId="0E17432B" w14:textId="77777777" w:rsidR="00162C14" w:rsidRPr="00CF0C7D" w:rsidRDefault="00162C14" w:rsidP="00162C14"/>
        </w:tc>
        <w:tc>
          <w:tcPr>
            <w:tcW w:w="4918" w:type="dxa"/>
          </w:tcPr>
          <w:p w14:paraId="2D788431" w14:textId="1BBEC0A4" w:rsidR="00162C14" w:rsidRPr="00CF0C7D" w:rsidRDefault="00E74A8A" w:rsidP="00162C14">
            <w:r>
              <w:t>P</w:t>
            </w:r>
            <w:r w:rsidRPr="00E74A8A">
              <w:t>ersonnes blanches</w:t>
            </w:r>
          </w:p>
        </w:tc>
        <w:tc>
          <w:tcPr>
            <w:tcW w:w="988" w:type="dxa"/>
          </w:tcPr>
          <w:p w14:paraId="03740ECA" w14:textId="6FC13B2E" w:rsidR="00162C14" w:rsidRPr="00CF0C7D" w:rsidRDefault="00B1000A" w:rsidP="00162C14">
            <w:r w:rsidRPr="00CF0C7D">
              <w:t>-</w:t>
            </w:r>
            <w:r w:rsidR="000B7D66" w:rsidRPr="00CF0C7D">
              <w:t>0,</w:t>
            </w:r>
            <w:r w:rsidRPr="00CF0C7D">
              <w:t>04</w:t>
            </w:r>
          </w:p>
        </w:tc>
        <w:tc>
          <w:tcPr>
            <w:tcW w:w="902" w:type="dxa"/>
          </w:tcPr>
          <w:p w14:paraId="16681DB2" w14:textId="741177CB" w:rsidR="00162C14" w:rsidRPr="00CF0C7D" w:rsidRDefault="000B7D66" w:rsidP="00162C14">
            <w:r w:rsidRPr="00CF0C7D">
              <w:t>0,</w:t>
            </w:r>
            <w:r w:rsidR="00B1000A" w:rsidRPr="00CF0C7D">
              <w:t>49</w:t>
            </w:r>
          </w:p>
        </w:tc>
      </w:tr>
      <w:tr w:rsidR="00162C14" w:rsidRPr="00CF0C7D" w14:paraId="237F48B1" w14:textId="77777777" w:rsidTr="006247FF">
        <w:tc>
          <w:tcPr>
            <w:tcW w:w="2677" w:type="dxa"/>
            <w:tcBorders>
              <w:bottom w:val="single" w:sz="4" w:space="0" w:color="auto"/>
            </w:tcBorders>
          </w:tcPr>
          <w:p w14:paraId="7EF4AE17" w14:textId="77777777" w:rsidR="00162C14" w:rsidRPr="00CF0C7D" w:rsidRDefault="00162C14" w:rsidP="00162C14"/>
        </w:tc>
        <w:tc>
          <w:tcPr>
            <w:tcW w:w="4918" w:type="dxa"/>
            <w:tcBorders>
              <w:bottom w:val="single" w:sz="4" w:space="0" w:color="auto"/>
            </w:tcBorders>
          </w:tcPr>
          <w:p w14:paraId="0BC7A8B6" w14:textId="3353E2FD" w:rsidR="00162C14" w:rsidRPr="00CF0C7D" w:rsidRDefault="006247FF" w:rsidP="00162C14">
            <w:r w:rsidRPr="00CF0C7D">
              <w:t>Minorité visible</w:t>
            </w:r>
          </w:p>
        </w:tc>
        <w:tc>
          <w:tcPr>
            <w:tcW w:w="988" w:type="dxa"/>
            <w:tcBorders>
              <w:bottom w:val="single" w:sz="4" w:space="0" w:color="auto"/>
            </w:tcBorders>
          </w:tcPr>
          <w:p w14:paraId="05A00771" w14:textId="6308357E" w:rsidR="00162C14" w:rsidRPr="00CF0C7D" w:rsidRDefault="000B7D66" w:rsidP="00162C14">
            <w:r w:rsidRPr="00CF0C7D">
              <w:t>0,</w:t>
            </w:r>
            <w:r w:rsidR="00B1000A" w:rsidRPr="00CF0C7D">
              <w:t>04</w:t>
            </w:r>
          </w:p>
        </w:tc>
        <w:tc>
          <w:tcPr>
            <w:tcW w:w="902" w:type="dxa"/>
            <w:tcBorders>
              <w:bottom w:val="single" w:sz="4" w:space="0" w:color="auto"/>
            </w:tcBorders>
          </w:tcPr>
          <w:p w14:paraId="674A2BCD" w14:textId="5D2D945D" w:rsidR="00162C14" w:rsidRPr="00CF0C7D" w:rsidRDefault="000B7D66" w:rsidP="00162C14">
            <w:r w:rsidRPr="00CF0C7D">
              <w:t>0,</w:t>
            </w:r>
            <w:r w:rsidR="00B1000A" w:rsidRPr="00CF0C7D">
              <w:t>48</w:t>
            </w:r>
          </w:p>
        </w:tc>
      </w:tr>
      <w:tr w:rsidR="00162C14" w:rsidRPr="00CF0C7D" w14:paraId="26D21D25" w14:textId="77777777" w:rsidTr="006247FF">
        <w:tc>
          <w:tcPr>
            <w:tcW w:w="2677" w:type="dxa"/>
            <w:tcBorders>
              <w:top w:val="single" w:sz="4" w:space="0" w:color="auto"/>
            </w:tcBorders>
          </w:tcPr>
          <w:p w14:paraId="3354E6E1" w14:textId="77777777" w:rsidR="00162C14" w:rsidRPr="00CF0C7D" w:rsidRDefault="00162C14" w:rsidP="00162C14"/>
        </w:tc>
        <w:tc>
          <w:tcPr>
            <w:tcW w:w="4918" w:type="dxa"/>
            <w:tcBorders>
              <w:top w:val="single" w:sz="4" w:space="0" w:color="auto"/>
            </w:tcBorders>
          </w:tcPr>
          <w:p w14:paraId="5B2A093F" w14:textId="40081C0F" w:rsidR="00162C14" w:rsidRPr="00CF0C7D" w:rsidRDefault="006247FF" w:rsidP="00162C14">
            <w:pPr>
              <w:rPr>
                <w:b/>
                <w:bCs/>
              </w:rPr>
            </w:pPr>
            <w:r w:rsidRPr="00CF0C7D">
              <w:rPr>
                <w:b/>
                <w:bCs/>
              </w:rPr>
              <w:t>Nombre de handicaps</w:t>
            </w:r>
          </w:p>
        </w:tc>
        <w:tc>
          <w:tcPr>
            <w:tcW w:w="988" w:type="dxa"/>
            <w:tcBorders>
              <w:top w:val="single" w:sz="4" w:space="0" w:color="auto"/>
            </w:tcBorders>
          </w:tcPr>
          <w:p w14:paraId="76B1A8F9" w14:textId="0D210DF4" w:rsidR="00162C14" w:rsidRPr="00CF0C7D" w:rsidRDefault="000B7D66" w:rsidP="00162C14">
            <w:pPr>
              <w:rPr>
                <w:b/>
                <w:bCs/>
              </w:rPr>
            </w:pPr>
            <w:r w:rsidRPr="00CF0C7D">
              <w:rPr>
                <w:b/>
                <w:bCs/>
              </w:rPr>
              <w:t>0,</w:t>
            </w:r>
            <w:r w:rsidR="00C136A0" w:rsidRPr="00CF0C7D">
              <w:rPr>
                <w:b/>
                <w:bCs/>
              </w:rPr>
              <w:t>18</w:t>
            </w:r>
          </w:p>
        </w:tc>
        <w:tc>
          <w:tcPr>
            <w:tcW w:w="902" w:type="dxa"/>
            <w:tcBorders>
              <w:top w:val="single" w:sz="4" w:space="0" w:color="auto"/>
            </w:tcBorders>
          </w:tcPr>
          <w:p w14:paraId="18AC58A9" w14:textId="48210CC7" w:rsidR="00162C14" w:rsidRPr="00CF0C7D" w:rsidRDefault="000B7D66" w:rsidP="00162C14">
            <w:pPr>
              <w:rPr>
                <w:b/>
                <w:bCs/>
              </w:rPr>
            </w:pPr>
            <w:r w:rsidRPr="00CF0C7D">
              <w:rPr>
                <w:b/>
                <w:bCs/>
              </w:rPr>
              <w:t>0,</w:t>
            </w:r>
            <w:r w:rsidR="00C136A0" w:rsidRPr="00CF0C7D">
              <w:rPr>
                <w:b/>
                <w:bCs/>
              </w:rPr>
              <w:t>003***</w:t>
            </w:r>
          </w:p>
        </w:tc>
      </w:tr>
      <w:tr w:rsidR="00162C14" w:rsidRPr="00CF0C7D" w14:paraId="314E3FDA" w14:textId="77777777" w:rsidTr="006247FF">
        <w:tc>
          <w:tcPr>
            <w:tcW w:w="2677" w:type="dxa"/>
          </w:tcPr>
          <w:p w14:paraId="20E443A8" w14:textId="77777777" w:rsidR="00162C14" w:rsidRPr="00CF0C7D" w:rsidRDefault="00162C14" w:rsidP="00162C14"/>
        </w:tc>
        <w:tc>
          <w:tcPr>
            <w:tcW w:w="4918" w:type="dxa"/>
          </w:tcPr>
          <w:p w14:paraId="70045A92" w14:textId="3CE19BC1" w:rsidR="00162C14" w:rsidRPr="00CF0C7D" w:rsidRDefault="006247FF" w:rsidP="00162C14">
            <w:r w:rsidRPr="00CF0C7D">
              <w:t>Handicap non apparent</w:t>
            </w:r>
          </w:p>
        </w:tc>
        <w:tc>
          <w:tcPr>
            <w:tcW w:w="988" w:type="dxa"/>
          </w:tcPr>
          <w:p w14:paraId="72138B5F" w14:textId="2D0753A8" w:rsidR="00162C14" w:rsidRPr="00CF0C7D" w:rsidRDefault="00C136A0" w:rsidP="00162C14">
            <w:r w:rsidRPr="00CF0C7D">
              <w:t>-</w:t>
            </w:r>
            <w:r w:rsidR="000B7D66" w:rsidRPr="00CF0C7D">
              <w:t>0,</w:t>
            </w:r>
            <w:r w:rsidRPr="00CF0C7D">
              <w:t>03</w:t>
            </w:r>
          </w:p>
        </w:tc>
        <w:tc>
          <w:tcPr>
            <w:tcW w:w="902" w:type="dxa"/>
          </w:tcPr>
          <w:p w14:paraId="72D6B0EC" w14:textId="38A1AA19" w:rsidR="00162C14" w:rsidRPr="00CF0C7D" w:rsidRDefault="000B7D66" w:rsidP="00162C14">
            <w:r w:rsidRPr="00CF0C7D">
              <w:t>0,</w:t>
            </w:r>
            <w:r w:rsidR="00C136A0" w:rsidRPr="00CF0C7D">
              <w:t>70</w:t>
            </w:r>
          </w:p>
        </w:tc>
      </w:tr>
      <w:tr w:rsidR="001A57A7" w:rsidRPr="00CF0C7D" w14:paraId="6E0AE228" w14:textId="77777777" w:rsidTr="006247FF">
        <w:tc>
          <w:tcPr>
            <w:tcW w:w="2677" w:type="dxa"/>
          </w:tcPr>
          <w:p w14:paraId="0D761DA6" w14:textId="77777777" w:rsidR="001A57A7" w:rsidRPr="00CF0C7D" w:rsidRDefault="001A57A7" w:rsidP="00162C14"/>
        </w:tc>
        <w:tc>
          <w:tcPr>
            <w:tcW w:w="4918" w:type="dxa"/>
          </w:tcPr>
          <w:p w14:paraId="075C136B" w14:textId="283B159A" w:rsidR="001A57A7" w:rsidRPr="00CF0C7D" w:rsidRDefault="006247FF" w:rsidP="00162C14">
            <w:pPr>
              <w:rPr>
                <w:b/>
                <w:bCs/>
              </w:rPr>
            </w:pPr>
            <w:r w:rsidRPr="00CF0C7D">
              <w:rPr>
                <w:b/>
                <w:bCs/>
              </w:rPr>
              <w:t>Santé mentale</w:t>
            </w:r>
          </w:p>
        </w:tc>
        <w:tc>
          <w:tcPr>
            <w:tcW w:w="988" w:type="dxa"/>
          </w:tcPr>
          <w:p w14:paraId="7261A67E" w14:textId="287DA8D9" w:rsidR="001A57A7" w:rsidRPr="00CF0C7D" w:rsidRDefault="000B7D66" w:rsidP="00162C14">
            <w:pPr>
              <w:rPr>
                <w:b/>
                <w:bCs/>
              </w:rPr>
            </w:pPr>
            <w:r w:rsidRPr="00CF0C7D">
              <w:rPr>
                <w:b/>
                <w:bCs/>
              </w:rPr>
              <w:t>0,</w:t>
            </w:r>
            <w:r w:rsidR="00C136A0" w:rsidRPr="00CF0C7D">
              <w:rPr>
                <w:b/>
                <w:bCs/>
              </w:rPr>
              <w:t>20</w:t>
            </w:r>
          </w:p>
        </w:tc>
        <w:tc>
          <w:tcPr>
            <w:tcW w:w="902" w:type="dxa"/>
          </w:tcPr>
          <w:p w14:paraId="273D1993" w14:textId="3AF0D750" w:rsidR="001A57A7" w:rsidRPr="00CF0C7D" w:rsidRDefault="000B7D66" w:rsidP="00162C14">
            <w:pPr>
              <w:rPr>
                <w:b/>
                <w:bCs/>
              </w:rPr>
            </w:pPr>
            <w:r w:rsidRPr="00CF0C7D">
              <w:rPr>
                <w:b/>
                <w:bCs/>
              </w:rPr>
              <w:t>,</w:t>
            </w:r>
            <w:r w:rsidR="00C136A0" w:rsidRPr="00CF0C7D">
              <w:rPr>
                <w:b/>
                <w:bCs/>
              </w:rPr>
              <w:t>001**</w:t>
            </w:r>
          </w:p>
        </w:tc>
      </w:tr>
      <w:tr w:rsidR="001A57A7" w:rsidRPr="00CF0C7D" w14:paraId="4DEE7F30" w14:textId="77777777" w:rsidTr="006247FF">
        <w:tc>
          <w:tcPr>
            <w:tcW w:w="2677" w:type="dxa"/>
          </w:tcPr>
          <w:p w14:paraId="220609F6" w14:textId="77777777" w:rsidR="001A57A7" w:rsidRPr="00CF0C7D" w:rsidRDefault="001A57A7" w:rsidP="00162C14"/>
        </w:tc>
        <w:tc>
          <w:tcPr>
            <w:tcW w:w="4918" w:type="dxa"/>
          </w:tcPr>
          <w:p w14:paraId="5CB8D984" w14:textId="017C4A72" w:rsidR="001A57A7" w:rsidRPr="00CF0C7D" w:rsidRDefault="006247FF" w:rsidP="00162C14">
            <w:r w:rsidRPr="00CF0C7D">
              <w:t>Apprentissage</w:t>
            </w:r>
          </w:p>
        </w:tc>
        <w:tc>
          <w:tcPr>
            <w:tcW w:w="988" w:type="dxa"/>
          </w:tcPr>
          <w:p w14:paraId="3A7D81CF" w14:textId="2413D922" w:rsidR="001A57A7" w:rsidRPr="00CF0C7D" w:rsidRDefault="000B7D66" w:rsidP="00162C14">
            <w:r w:rsidRPr="00CF0C7D">
              <w:t>0,</w:t>
            </w:r>
            <w:r w:rsidR="00CA5E2A" w:rsidRPr="00CF0C7D">
              <w:t>06</w:t>
            </w:r>
          </w:p>
        </w:tc>
        <w:tc>
          <w:tcPr>
            <w:tcW w:w="902" w:type="dxa"/>
          </w:tcPr>
          <w:p w14:paraId="7BE9A867" w14:textId="36F3FE8B" w:rsidR="001A57A7" w:rsidRPr="00CF0C7D" w:rsidRDefault="000B7D66" w:rsidP="00162C14">
            <w:r w:rsidRPr="00CF0C7D">
              <w:t>0,</w:t>
            </w:r>
            <w:r w:rsidR="00CA5E2A" w:rsidRPr="00CF0C7D">
              <w:t>32</w:t>
            </w:r>
          </w:p>
        </w:tc>
      </w:tr>
      <w:tr w:rsidR="00162C14" w:rsidRPr="00CF0C7D" w14:paraId="3FE39F49" w14:textId="77777777" w:rsidTr="006247FF">
        <w:tc>
          <w:tcPr>
            <w:tcW w:w="2677" w:type="dxa"/>
          </w:tcPr>
          <w:p w14:paraId="48BE1126" w14:textId="77777777" w:rsidR="00162C14" w:rsidRPr="00CF0C7D" w:rsidRDefault="00162C14" w:rsidP="00162C14"/>
        </w:tc>
        <w:tc>
          <w:tcPr>
            <w:tcW w:w="4918" w:type="dxa"/>
          </w:tcPr>
          <w:p w14:paraId="3EA4CA8D" w14:textId="5D8A59D3" w:rsidR="00162C14" w:rsidRPr="00CF0C7D" w:rsidRDefault="006247FF" w:rsidP="00162C14">
            <w:r w:rsidRPr="00CF0C7D">
              <w:rPr>
                <w:lang w:eastAsia="en-US"/>
              </w:rPr>
              <w:t>Médical</w:t>
            </w:r>
          </w:p>
        </w:tc>
        <w:tc>
          <w:tcPr>
            <w:tcW w:w="988" w:type="dxa"/>
          </w:tcPr>
          <w:p w14:paraId="52FB64B4" w14:textId="37827D76" w:rsidR="00162C14" w:rsidRPr="00CF0C7D" w:rsidRDefault="000B7D66" w:rsidP="00162C14">
            <w:r w:rsidRPr="00CF0C7D">
              <w:t>0,</w:t>
            </w:r>
            <w:r w:rsidR="00CA5E2A" w:rsidRPr="00CF0C7D">
              <w:t>02</w:t>
            </w:r>
          </w:p>
        </w:tc>
        <w:tc>
          <w:tcPr>
            <w:tcW w:w="902" w:type="dxa"/>
          </w:tcPr>
          <w:p w14:paraId="1153334C" w14:textId="4978E294" w:rsidR="00162C14" w:rsidRPr="00CF0C7D" w:rsidRDefault="000B7D66" w:rsidP="00162C14">
            <w:r w:rsidRPr="00CF0C7D">
              <w:t>0,</w:t>
            </w:r>
            <w:r w:rsidR="00CA5E2A" w:rsidRPr="00CF0C7D">
              <w:t>69</w:t>
            </w:r>
          </w:p>
        </w:tc>
      </w:tr>
      <w:tr w:rsidR="00162C14" w:rsidRPr="00CF0C7D" w14:paraId="0BEF3466" w14:textId="77777777" w:rsidTr="006247FF">
        <w:tc>
          <w:tcPr>
            <w:tcW w:w="2677" w:type="dxa"/>
          </w:tcPr>
          <w:p w14:paraId="3A85A5F3" w14:textId="77777777" w:rsidR="00162C14" w:rsidRPr="00CF0C7D" w:rsidRDefault="00162C14" w:rsidP="00162C14"/>
        </w:tc>
        <w:tc>
          <w:tcPr>
            <w:tcW w:w="4918" w:type="dxa"/>
          </w:tcPr>
          <w:p w14:paraId="343C3ABD" w14:textId="2DCB604C" w:rsidR="00162C14" w:rsidRPr="00CF0C7D" w:rsidRDefault="006247FF" w:rsidP="00162C14">
            <w:r w:rsidRPr="00CF0C7D">
              <w:rPr>
                <w:lang w:eastAsia="en-US"/>
              </w:rPr>
              <w:t>Sensorial</w:t>
            </w:r>
          </w:p>
        </w:tc>
        <w:tc>
          <w:tcPr>
            <w:tcW w:w="988" w:type="dxa"/>
          </w:tcPr>
          <w:p w14:paraId="05A627E0" w14:textId="11B3BDBC" w:rsidR="00162C14" w:rsidRPr="00CF0C7D" w:rsidRDefault="00CA5E2A" w:rsidP="00162C14">
            <w:r w:rsidRPr="00CF0C7D">
              <w:t>-</w:t>
            </w:r>
            <w:r w:rsidR="000B7D66" w:rsidRPr="00CF0C7D">
              <w:t>0,</w:t>
            </w:r>
            <w:r w:rsidRPr="00CF0C7D">
              <w:t>05</w:t>
            </w:r>
          </w:p>
        </w:tc>
        <w:tc>
          <w:tcPr>
            <w:tcW w:w="902" w:type="dxa"/>
          </w:tcPr>
          <w:p w14:paraId="52546D3A" w14:textId="3D991791" w:rsidR="00162C14" w:rsidRPr="00CF0C7D" w:rsidRDefault="000B7D66" w:rsidP="00162C14">
            <w:r w:rsidRPr="00CF0C7D">
              <w:t>0,</w:t>
            </w:r>
            <w:r w:rsidR="00CA5E2A" w:rsidRPr="00CF0C7D">
              <w:t>42</w:t>
            </w:r>
          </w:p>
        </w:tc>
      </w:tr>
      <w:tr w:rsidR="00162C14" w:rsidRPr="00CF0C7D" w14:paraId="25F0AE31" w14:textId="77777777" w:rsidTr="006247FF">
        <w:tc>
          <w:tcPr>
            <w:tcW w:w="2677" w:type="dxa"/>
          </w:tcPr>
          <w:p w14:paraId="3FA53905" w14:textId="77777777" w:rsidR="00162C14" w:rsidRPr="00CF0C7D" w:rsidRDefault="00162C14" w:rsidP="00162C14"/>
        </w:tc>
        <w:tc>
          <w:tcPr>
            <w:tcW w:w="4918" w:type="dxa"/>
          </w:tcPr>
          <w:p w14:paraId="40894C2F" w14:textId="6C905837" w:rsidR="00162C14" w:rsidRPr="00CF0C7D" w:rsidRDefault="006247FF" w:rsidP="00162C14">
            <w:r w:rsidRPr="00CF0C7D">
              <w:rPr>
                <w:lang w:eastAsia="en-US"/>
              </w:rPr>
              <w:t>Mobilité/agilité</w:t>
            </w:r>
          </w:p>
        </w:tc>
        <w:tc>
          <w:tcPr>
            <w:tcW w:w="988" w:type="dxa"/>
          </w:tcPr>
          <w:p w14:paraId="6E3C78F8" w14:textId="12F66600" w:rsidR="00162C14" w:rsidRPr="00CF0C7D" w:rsidRDefault="000B7D66" w:rsidP="00162C14">
            <w:r w:rsidRPr="00CF0C7D">
              <w:t>0,</w:t>
            </w:r>
            <w:r w:rsidR="00CA5E2A" w:rsidRPr="00CF0C7D">
              <w:t>09</w:t>
            </w:r>
          </w:p>
        </w:tc>
        <w:tc>
          <w:tcPr>
            <w:tcW w:w="902" w:type="dxa"/>
          </w:tcPr>
          <w:p w14:paraId="20F9B064" w14:textId="3529DA50" w:rsidR="00162C14" w:rsidRPr="00CF0C7D" w:rsidRDefault="000B7D66" w:rsidP="00162C14">
            <w:r w:rsidRPr="00CF0C7D">
              <w:t>0,</w:t>
            </w:r>
            <w:r w:rsidR="00CA5E2A" w:rsidRPr="00CF0C7D">
              <w:t>13</w:t>
            </w:r>
          </w:p>
        </w:tc>
      </w:tr>
      <w:tr w:rsidR="00162C14" w:rsidRPr="00CF0C7D" w14:paraId="7CF8716E" w14:textId="77777777" w:rsidTr="006247FF">
        <w:tc>
          <w:tcPr>
            <w:tcW w:w="2677" w:type="dxa"/>
          </w:tcPr>
          <w:p w14:paraId="6B315CC0" w14:textId="77777777" w:rsidR="00162C14" w:rsidRPr="00CF0C7D" w:rsidRDefault="00162C14" w:rsidP="00162C14"/>
        </w:tc>
        <w:tc>
          <w:tcPr>
            <w:tcW w:w="4918" w:type="dxa"/>
          </w:tcPr>
          <w:p w14:paraId="5FC02104" w14:textId="154E50EE" w:rsidR="00162C14" w:rsidRPr="00CF0C7D" w:rsidRDefault="006247FF" w:rsidP="00162C14">
            <w:r w:rsidRPr="00CF0C7D">
              <w:rPr>
                <w:lang w:eastAsia="en-US"/>
              </w:rPr>
              <w:t>Développement</w:t>
            </w:r>
          </w:p>
        </w:tc>
        <w:tc>
          <w:tcPr>
            <w:tcW w:w="988" w:type="dxa"/>
          </w:tcPr>
          <w:p w14:paraId="68BF8C9D" w14:textId="7F2A406C" w:rsidR="00162C14" w:rsidRPr="00CF0C7D" w:rsidRDefault="000B7D66" w:rsidP="00162C14">
            <w:r w:rsidRPr="00CF0C7D">
              <w:t>0,</w:t>
            </w:r>
            <w:r w:rsidR="00CA5E2A" w:rsidRPr="00CF0C7D">
              <w:t>01</w:t>
            </w:r>
          </w:p>
        </w:tc>
        <w:tc>
          <w:tcPr>
            <w:tcW w:w="902" w:type="dxa"/>
          </w:tcPr>
          <w:p w14:paraId="17824E09" w14:textId="21A8F13A" w:rsidR="00162C14" w:rsidRPr="00CF0C7D" w:rsidRDefault="000B7D66" w:rsidP="00162C14">
            <w:r w:rsidRPr="00CF0C7D">
              <w:t>0,</w:t>
            </w:r>
            <w:r w:rsidR="00CA5E2A" w:rsidRPr="00CF0C7D">
              <w:t>92</w:t>
            </w:r>
          </w:p>
        </w:tc>
      </w:tr>
      <w:tr w:rsidR="00162C14" w:rsidRPr="00CF0C7D" w14:paraId="0CEA9AB5" w14:textId="77777777" w:rsidTr="006247FF">
        <w:tc>
          <w:tcPr>
            <w:tcW w:w="2677" w:type="dxa"/>
          </w:tcPr>
          <w:p w14:paraId="09897DE7" w14:textId="77777777" w:rsidR="00162C14" w:rsidRPr="00CF0C7D" w:rsidRDefault="00162C14" w:rsidP="00162C14"/>
        </w:tc>
        <w:tc>
          <w:tcPr>
            <w:tcW w:w="4918" w:type="dxa"/>
          </w:tcPr>
          <w:p w14:paraId="7AAFA9E8" w14:textId="3BCB5851" w:rsidR="00162C14" w:rsidRPr="00CF0C7D" w:rsidRDefault="00162C14" w:rsidP="00162C14">
            <w:r w:rsidRPr="00CF0C7D">
              <w:rPr>
                <w:lang w:eastAsia="en-US"/>
              </w:rPr>
              <w:t>Communication</w:t>
            </w:r>
          </w:p>
        </w:tc>
        <w:tc>
          <w:tcPr>
            <w:tcW w:w="988" w:type="dxa"/>
          </w:tcPr>
          <w:p w14:paraId="401622D1" w14:textId="27BFABB0" w:rsidR="00162C14" w:rsidRPr="00CF0C7D" w:rsidRDefault="00CA5E2A" w:rsidP="00162C14">
            <w:r w:rsidRPr="00CF0C7D">
              <w:t>-</w:t>
            </w:r>
            <w:r w:rsidR="000B7D66" w:rsidRPr="00CF0C7D">
              <w:t>0,</w:t>
            </w:r>
            <w:r w:rsidRPr="00CF0C7D">
              <w:t>01</w:t>
            </w:r>
          </w:p>
        </w:tc>
        <w:tc>
          <w:tcPr>
            <w:tcW w:w="902" w:type="dxa"/>
          </w:tcPr>
          <w:p w14:paraId="2C427761" w14:textId="693B0074" w:rsidR="00162C14" w:rsidRPr="00CF0C7D" w:rsidRDefault="000B7D66" w:rsidP="00162C14">
            <w:r w:rsidRPr="00CF0C7D">
              <w:t>0,</w:t>
            </w:r>
            <w:r w:rsidR="00CA5E2A" w:rsidRPr="00CF0C7D">
              <w:t>91</w:t>
            </w:r>
          </w:p>
        </w:tc>
      </w:tr>
      <w:tr w:rsidR="00162C14" w:rsidRPr="00CF0C7D" w14:paraId="04735F40" w14:textId="77777777" w:rsidTr="006247FF">
        <w:tc>
          <w:tcPr>
            <w:tcW w:w="2677" w:type="dxa"/>
          </w:tcPr>
          <w:p w14:paraId="2B5549A3" w14:textId="77777777" w:rsidR="00162C14" w:rsidRPr="00CF0C7D" w:rsidRDefault="00162C14" w:rsidP="00162C14"/>
        </w:tc>
        <w:tc>
          <w:tcPr>
            <w:tcW w:w="4918" w:type="dxa"/>
          </w:tcPr>
          <w:p w14:paraId="01F6C05F" w14:textId="3A9F5CD9" w:rsidR="00162C14" w:rsidRPr="00CF0C7D" w:rsidRDefault="006247FF" w:rsidP="00162C14">
            <w:r w:rsidRPr="00CF0C7D">
              <w:rPr>
                <w:lang w:eastAsia="en-US"/>
              </w:rPr>
              <w:t>Motricité/dextérité</w:t>
            </w:r>
          </w:p>
        </w:tc>
        <w:tc>
          <w:tcPr>
            <w:tcW w:w="988" w:type="dxa"/>
          </w:tcPr>
          <w:p w14:paraId="723E9AEE" w14:textId="25A0E00A" w:rsidR="00162C14" w:rsidRPr="00CF0C7D" w:rsidRDefault="000B7D66" w:rsidP="00162C14">
            <w:r w:rsidRPr="00CF0C7D">
              <w:t>0,</w:t>
            </w:r>
            <w:r w:rsidR="00CA5E2A" w:rsidRPr="00CF0C7D">
              <w:t>06</w:t>
            </w:r>
          </w:p>
        </w:tc>
        <w:tc>
          <w:tcPr>
            <w:tcW w:w="902" w:type="dxa"/>
          </w:tcPr>
          <w:p w14:paraId="66CA92EC" w14:textId="178D5FCC" w:rsidR="00162C14" w:rsidRPr="00CF0C7D" w:rsidRDefault="000B7D66" w:rsidP="00162C14">
            <w:r w:rsidRPr="00CF0C7D">
              <w:t>0,</w:t>
            </w:r>
            <w:r w:rsidR="00CA5E2A" w:rsidRPr="00CF0C7D">
              <w:t>35</w:t>
            </w:r>
          </w:p>
        </w:tc>
      </w:tr>
      <w:tr w:rsidR="00162C14" w:rsidRPr="00CF0C7D" w14:paraId="73DC9442" w14:textId="77777777" w:rsidTr="006247FF">
        <w:tc>
          <w:tcPr>
            <w:tcW w:w="2677" w:type="dxa"/>
            <w:tcBorders>
              <w:bottom w:val="single" w:sz="4" w:space="0" w:color="auto"/>
            </w:tcBorders>
          </w:tcPr>
          <w:p w14:paraId="03511D0D" w14:textId="77777777" w:rsidR="00162C14" w:rsidRPr="00CF0C7D" w:rsidRDefault="00162C14" w:rsidP="00162C14"/>
        </w:tc>
        <w:tc>
          <w:tcPr>
            <w:tcW w:w="4918" w:type="dxa"/>
            <w:tcBorders>
              <w:bottom w:val="single" w:sz="4" w:space="0" w:color="auto"/>
            </w:tcBorders>
          </w:tcPr>
          <w:p w14:paraId="59D433C5" w14:textId="501FA730" w:rsidR="00162C14" w:rsidRPr="00CF0C7D" w:rsidRDefault="006247FF" w:rsidP="00162C14">
            <w:r w:rsidRPr="00CF0C7D">
              <w:rPr>
                <w:lang w:eastAsia="en-US"/>
              </w:rPr>
              <w:t>Intellectuels</w:t>
            </w:r>
          </w:p>
        </w:tc>
        <w:tc>
          <w:tcPr>
            <w:tcW w:w="988" w:type="dxa"/>
            <w:tcBorders>
              <w:bottom w:val="single" w:sz="4" w:space="0" w:color="auto"/>
            </w:tcBorders>
          </w:tcPr>
          <w:p w14:paraId="3CD2E150" w14:textId="77C348D9" w:rsidR="00162C14" w:rsidRPr="00CF0C7D" w:rsidRDefault="000B7D66" w:rsidP="00162C14">
            <w:r w:rsidRPr="00CF0C7D">
              <w:t>0,</w:t>
            </w:r>
            <w:r w:rsidR="00CA5E2A" w:rsidRPr="00CF0C7D">
              <w:t>06</w:t>
            </w:r>
          </w:p>
        </w:tc>
        <w:tc>
          <w:tcPr>
            <w:tcW w:w="902" w:type="dxa"/>
            <w:tcBorders>
              <w:bottom w:val="single" w:sz="4" w:space="0" w:color="auto"/>
            </w:tcBorders>
          </w:tcPr>
          <w:p w14:paraId="011A9541" w14:textId="19CE99A1" w:rsidR="00162C14" w:rsidRPr="00CF0C7D" w:rsidRDefault="000B7D66" w:rsidP="00162C14">
            <w:r w:rsidRPr="00CF0C7D">
              <w:t>0,</w:t>
            </w:r>
            <w:r w:rsidR="00CA5E2A" w:rsidRPr="00CF0C7D">
              <w:t>30</w:t>
            </w:r>
          </w:p>
        </w:tc>
      </w:tr>
    </w:tbl>
    <w:p w14:paraId="3A8FE9E7" w14:textId="67E54595" w:rsidR="006E272C" w:rsidRPr="00CF0C7D" w:rsidRDefault="006247FF" w:rsidP="006367D1">
      <w:r w:rsidRPr="00CF0C7D">
        <w:t xml:space="preserve">*Significatif à </w:t>
      </w:r>
      <w:r w:rsidRPr="00CF0C7D">
        <w:rPr>
          <w:i/>
          <w:iCs/>
        </w:rPr>
        <w:t>p</w:t>
      </w:r>
      <w:r w:rsidRPr="00CF0C7D">
        <w:t xml:space="preserve"> &lt; 0,05; **significatif à </w:t>
      </w:r>
      <w:r w:rsidRPr="00CF0C7D">
        <w:rPr>
          <w:i/>
          <w:iCs/>
        </w:rPr>
        <w:t>p</w:t>
      </w:r>
      <w:r w:rsidRPr="00CF0C7D">
        <w:t xml:space="preserve"> &lt; 0,01; ***significatif à </w:t>
      </w:r>
      <w:r w:rsidRPr="00CF0C7D">
        <w:rPr>
          <w:i/>
          <w:iCs/>
        </w:rPr>
        <w:t>p</w:t>
      </w:r>
      <w:r w:rsidRPr="00CF0C7D">
        <w:t xml:space="preserve"> &lt; 0,001</w:t>
      </w:r>
    </w:p>
    <w:p w14:paraId="7601DAF0" w14:textId="77777777" w:rsidR="00FC295B" w:rsidRPr="00CF0C7D" w:rsidRDefault="00FC295B" w:rsidP="00162C14"/>
    <w:p w14:paraId="17D40913" w14:textId="552E8DC6" w:rsidR="00162C14" w:rsidRPr="00CF0C7D" w:rsidRDefault="006247FF" w:rsidP="00162C14">
      <w:r w:rsidRPr="00CF0C7D">
        <w:lastRenderedPageBreak/>
        <w:t>Tableau 4. Coefficients de corrélation de Spearman entre les attentes salariales et les variables sociodémographiques et liées au handicap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au 4. Coefficients de corrélation de Spearman entre les attentes salariales et les variables sociodémographiques et liées au handicap"/>
        <w:tblDescription w:val="Tableau à quatre colonnes présentant les variables sociodémographiques et liées au handicap, ainsi que les coefficients de corrélation de Spearman et les valeurs p pour les attentes salariales. Le statut d’étudiant international présente la corrélation positive la plus forte avec des attentes salariales plus élevées (rho = 0,15, p = 0,01), tandis que l’identité 2SLGBTQ+ (rho = -0,14, p = 0,02) et le genre (rho = -0,13, p = 0,04) présentent des corrélations négatives significatives avec les attentes salariales. Toutes les autres variables ne sont pas statistiquement significatives : l’âge (-0,08, 0,19), la ruralité (-0,01, 0,82), l’appartenance autochtone (-0,01, 0,81), Canadiens de race noire (0,06, 0,34), d’Asie de l’Est (-0,06, 0,32), latino-américains/latino-américaines/latinx (0,03, 0,62), du Moyen-Orient, d’Afrique du Nord ou d’Asie de l’Ouest (0,09, 0,16), d’Asie du Sud (0,06, 0,32), d’Asie du Sud-Est (0,09, 0,15), Blanc (-0,10, 0,13), minorité visible (0,09, 0,12), nombre de handicaps (-0,08, 0,16), handicap non apparent (0,02, 0,76), santé mentale (-0,05, 0,43), apprentissage (-0,01, 0,87), médical (-0,07, 0,23), sensoriel (-0,06, 0,36), de mobilité/agilité (-0,10, 0,10), de développement (-0,01, 0,88), de communication (0,05, 0,36), de motricité/dextérité (0,07, 0,20) et intellectuel (-0,03, 0,62). Une note indique les seuils de signification de p inférieur à 0,05, p inférieur à 0,01 et p inférieur à 0,001."/>
      </w:tblPr>
      <w:tblGrid>
        <w:gridCol w:w="2695"/>
        <w:gridCol w:w="4950"/>
        <w:gridCol w:w="990"/>
        <w:gridCol w:w="840"/>
      </w:tblGrid>
      <w:tr w:rsidR="00162C14" w:rsidRPr="00CF0C7D" w14:paraId="7DE421BD" w14:textId="77777777" w:rsidTr="007A3644">
        <w:tc>
          <w:tcPr>
            <w:tcW w:w="2695" w:type="dxa"/>
            <w:tcBorders>
              <w:top w:val="single" w:sz="4" w:space="0" w:color="auto"/>
              <w:bottom w:val="single" w:sz="4" w:space="0" w:color="auto"/>
            </w:tcBorders>
          </w:tcPr>
          <w:p w14:paraId="3C6CD979" w14:textId="77777777" w:rsidR="00162C14" w:rsidRPr="00CF0C7D" w:rsidRDefault="00162C14" w:rsidP="007A3644"/>
        </w:tc>
        <w:tc>
          <w:tcPr>
            <w:tcW w:w="4950" w:type="dxa"/>
            <w:tcBorders>
              <w:top w:val="single" w:sz="4" w:space="0" w:color="auto"/>
              <w:bottom w:val="single" w:sz="4" w:space="0" w:color="auto"/>
            </w:tcBorders>
          </w:tcPr>
          <w:p w14:paraId="36DFB9F2" w14:textId="77777777" w:rsidR="00162C14" w:rsidRPr="00CF0C7D" w:rsidRDefault="00162C14" w:rsidP="007A3644"/>
        </w:tc>
        <w:tc>
          <w:tcPr>
            <w:tcW w:w="990" w:type="dxa"/>
            <w:tcBorders>
              <w:top w:val="single" w:sz="4" w:space="0" w:color="auto"/>
              <w:bottom w:val="single" w:sz="4" w:space="0" w:color="auto"/>
            </w:tcBorders>
          </w:tcPr>
          <w:p w14:paraId="3FED3B3A" w14:textId="77777777" w:rsidR="00162C14" w:rsidRPr="00CF0C7D" w:rsidRDefault="00162C14" w:rsidP="007A3644">
            <w:r w:rsidRPr="00CF0C7D">
              <w:t>rho (ρ)</w:t>
            </w:r>
          </w:p>
        </w:tc>
        <w:tc>
          <w:tcPr>
            <w:tcW w:w="840" w:type="dxa"/>
            <w:tcBorders>
              <w:top w:val="single" w:sz="4" w:space="0" w:color="auto"/>
              <w:bottom w:val="single" w:sz="4" w:space="0" w:color="auto"/>
            </w:tcBorders>
          </w:tcPr>
          <w:p w14:paraId="0B05F066" w14:textId="77777777" w:rsidR="00162C14" w:rsidRPr="00CF0C7D" w:rsidRDefault="00162C14" w:rsidP="007A3644">
            <w:r w:rsidRPr="00CF0C7D">
              <w:rPr>
                <w:i/>
                <w:iCs/>
              </w:rPr>
              <w:t>p</w:t>
            </w:r>
          </w:p>
        </w:tc>
      </w:tr>
      <w:tr w:rsidR="000B7D66" w:rsidRPr="00CF0C7D" w14:paraId="13D5CC89" w14:textId="77777777" w:rsidTr="007A3644">
        <w:tc>
          <w:tcPr>
            <w:tcW w:w="2695" w:type="dxa"/>
            <w:tcBorders>
              <w:top w:val="single" w:sz="4" w:space="0" w:color="auto"/>
            </w:tcBorders>
          </w:tcPr>
          <w:p w14:paraId="33EF41B4" w14:textId="612EEE07" w:rsidR="000B7D66" w:rsidRPr="00CF0C7D" w:rsidRDefault="000B7D66" w:rsidP="000B7D66">
            <w:r w:rsidRPr="00CF0C7D">
              <w:t>Salary expectations</w:t>
            </w:r>
          </w:p>
        </w:tc>
        <w:tc>
          <w:tcPr>
            <w:tcW w:w="4950" w:type="dxa"/>
            <w:tcBorders>
              <w:top w:val="single" w:sz="4" w:space="0" w:color="auto"/>
            </w:tcBorders>
          </w:tcPr>
          <w:p w14:paraId="7CB85B8C" w14:textId="2BFEB9D9" w:rsidR="000B7D66" w:rsidRPr="00CF0C7D" w:rsidRDefault="000B7D66" w:rsidP="000B7D66">
            <w:r w:rsidRPr="00CF0C7D">
              <w:t>Âge</w:t>
            </w:r>
          </w:p>
        </w:tc>
        <w:tc>
          <w:tcPr>
            <w:tcW w:w="990" w:type="dxa"/>
            <w:tcBorders>
              <w:top w:val="single" w:sz="4" w:space="0" w:color="auto"/>
            </w:tcBorders>
          </w:tcPr>
          <w:p w14:paraId="479CFCCD" w14:textId="029B8043" w:rsidR="000B7D66" w:rsidRPr="00CF0C7D" w:rsidRDefault="000B7D66" w:rsidP="000B7D66">
            <w:r w:rsidRPr="00CF0C7D">
              <w:t>-0,08</w:t>
            </w:r>
          </w:p>
        </w:tc>
        <w:tc>
          <w:tcPr>
            <w:tcW w:w="840" w:type="dxa"/>
            <w:tcBorders>
              <w:top w:val="single" w:sz="4" w:space="0" w:color="auto"/>
            </w:tcBorders>
          </w:tcPr>
          <w:p w14:paraId="6C9B1086" w14:textId="3B1604C3" w:rsidR="000B7D66" w:rsidRPr="00CF0C7D" w:rsidRDefault="000B7D66" w:rsidP="000B7D66">
            <w:r w:rsidRPr="00CF0C7D">
              <w:t>0,19</w:t>
            </w:r>
          </w:p>
        </w:tc>
      </w:tr>
      <w:tr w:rsidR="000B7D66" w:rsidRPr="00CF0C7D" w14:paraId="6581A761" w14:textId="77777777" w:rsidTr="007A3644">
        <w:tc>
          <w:tcPr>
            <w:tcW w:w="2695" w:type="dxa"/>
          </w:tcPr>
          <w:p w14:paraId="0C144DF5" w14:textId="77777777" w:rsidR="000B7D66" w:rsidRPr="00CF0C7D" w:rsidRDefault="000B7D66" w:rsidP="000B7D66">
            <w:pPr>
              <w:rPr>
                <w:b/>
                <w:bCs/>
              </w:rPr>
            </w:pPr>
          </w:p>
        </w:tc>
        <w:tc>
          <w:tcPr>
            <w:tcW w:w="4950" w:type="dxa"/>
          </w:tcPr>
          <w:p w14:paraId="01FF6D99" w14:textId="5604CC59" w:rsidR="000B7D66" w:rsidRPr="00CF0C7D" w:rsidRDefault="000B7D66" w:rsidP="000B7D66">
            <w:pPr>
              <w:rPr>
                <w:b/>
                <w:bCs/>
              </w:rPr>
            </w:pPr>
            <w:r w:rsidRPr="00CF0C7D">
              <w:rPr>
                <w:b/>
                <w:bCs/>
              </w:rPr>
              <w:t>Genre</w:t>
            </w:r>
          </w:p>
        </w:tc>
        <w:tc>
          <w:tcPr>
            <w:tcW w:w="990" w:type="dxa"/>
          </w:tcPr>
          <w:p w14:paraId="3F1C45E6" w14:textId="22944D7A" w:rsidR="000B7D66" w:rsidRPr="00CF0C7D" w:rsidRDefault="000B7D66" w:rsidP="000B7D66">
            <w:pPr>
              <w:rPr>
                <w:b/>
                <w:bCs/>
              </w:rPr>
            </w:pPr>
            <w:r w:rsidRPr="00CF0C7D">
              <w:rPr>
                <w:b/>
                <w:bCs/>
              </w:rPr>
              <w:t>-0,13</w:t>
            </w:r>
          </w:p>
        </w:tc>
        <w:tc>
          <w:tcPr>
            <w:tcW w:w="840" w:type="dxa"/>
          </w:tcPr>
          <w:p w14:paraId="3AB24EB1" w14:textId="3F870D4C" w:rsidR="000B7D66" w:rsidRPr="00CF0C7D" w:rsidRDefault="000B7D66" w:rsidP="000B7D66">
            <w:pPr>
              <w:rPr>
                <w:b/>
                <w:bCs/>
              </w:rPr>
            </w:pPr>
            <w:r w:rsidRPr="00CF0C7D">
              <w:rPr>
                <w:b/>
                <w:bCs/>
              </w:rPr>
              <w:t>0,04*</w:t>
            </w:r>
          </w:p>
        </w:tc>
      </w:tr>
      <w:tr w:rsidR="000B7D66" w:rsidRPr="00CF0C7D" w14:paraId="51FA87EA" w14:textId="77777777" w:rsidTr="007A3644">
        <w:tc>
          <w:tcPr>
            <w:tcW w:w="2695" w:type="dxa"/>
          </w:tcPr>
          <w:p w14:paraId="39FF0E3A" w14:textId="77777777" w:rsidR="000B7D66" w:rsidRPr="00CF0C7D" w:rsidRDefault="000B7D66" w:rsidP="000B7D66">
            <w:pPr>
              <w:rPr>
                <w:b/>
                <w:bCs/>
              </w:rPr>
            </w:pPr>
          </w:p>
        </w:tc>
        <w:tc>
          <w:tcPr>
            <w:tcW w:w="4950" w:type="dxa"/>
          </w:tcPr>
          <w:p w14:paraId="08D1A6AF" w14:textId="1EC68948" w:rsidR="000B7D66" w:rsidRPr="00CF0C7D" w:rsidRDefault="000B7D66" w:rsidP="000B7D66">
            <w:pPr>
              <w:rPr>
                <w:b/>
                <w:bCs/>
              </w:rPr>
            </w:pPr>
            <w:r w:rsidRPr="00CF0C7D">
              <w:rPr>
                <w:b/>
                <w:bCs/>
              </w:rPr>
              <w:t>2SLGBTQ+</w:t>
            </w:r>
          </w:p>
        </w:tc>
        <w:tc>
          <w:tcPr>
            <w:tcW w:w="990" w:type="dxa"/>
          </w:tcPr>
          <w:p w14:paraId="6DF4325B" w14:textId="2E6D1192" w:rsidR="000B7D66" w:rsidRPr="00CF0C7D" w:rsidRDefault="000B7D66" w:rsidP="000B7D66">
            <w:pPr>
              <w:rPr>
                <w:b/>
                <w:bCs/>
              </w:rPr>
            </w:pPr>
            <w:r w:rsidRPr="00CF0C7D">
              <w:rPr>
                <w:b/>
                <w:bCs/>
              </w:rPr>
              <w:t>-0,14</w:t>
            </w:r>
          </w:p>
        </w:tc>
        <w:tc>
          <w:tcPr>
            <w:tcW w:w="840" w:type="dxa"/>
          </w:tcPr>
          <w:p w14:paraId="4C3CC265" w14:textId="455A9807" w:rsidR="000B7D66" w:rsidRPr="00CF0C7D" w:rsidRDefault="000B7D66" w:rsidP="000B7D66">
            <w:pPr>
              <w:rPr>
                <w:b/>
                <w:bCs/>
              </w:rPr>
            </w:pPr>
            <w:r w:rsidRPr="00CF0C7D">
              <w:rPr>
                <w:b/>
                <w:bCs/>
              </w:rPr>
              <w:t>0,02*</w:t>
            </w:r>
          </w:p>
        </w:tc>
      </w:tr>
      <w:tr w:rsidR="000B7D66" w:rsidRPr="00CF0C7D" w14:paraId="66643334" w14:textId="77777777" w:rsidTr="007A3644">
        <w:tc>
          <w:tcPr>
            <w:tcW w:w="2695" w:type="dxa"/>
          </w:tcPr>
          <w:p w14:paraId="133CF314" w14:textId="77777777" w:rsidR="000B7D66" w:rsidRPr="00CF0C7D" w:rsidRDefault="000B7D66" w:rsidP="000B7D66"/>
        </w:tc>
        <w:tc>
          <w:tcPr>
            <w:tcW w:w="4950" w:type="dxa"/>
          </w:tcPr>
          <w:p w14:paraId="2445FC4A" w14:textId="633C52C8" w:rsidR="000B7D66" w:rsidRPr="00CF0C7D" w:rsidRDefault="000B7D66" w:rsidP="000B7D66">
            <w:r w:rsidRPr="00CF0C7D">
              <w:t>Milieu rural</w:t>
            </w:r>
          </w:p>
        </w:tc>
        <w:tc>
          <w:tcPr>
            <w:tcW w:w="990" w:type="dxa"/>
          </w:tcPr>
          <w:p w14:paraId="2BEC7B4D" w14:textId="2947ED20" w:rsidR="000B7D66" w:rsidRPr="00CF0C7D" w:rsidRDefault="000B7D66" w:rsidP="000B7D66">
            <w:r w:rsidRPr="00CF0C7D">
              <w:t>-0,01</w:t>
            </w:r>
          </w:p>
        </w:tc>
        <w:tc>
          <w:tcPr>
            <w:tcW w:w="840" w:type="dxa"/>
          </w:tcPr>
          <w:p w14:paraId="2A42F956" w14:textId="794774D9" w:rsidR="000B7D66" w:rsidRPr="00CF0C7D" w:rsidRDefault="000B7D66" w:rsidP="000B7D66">
            <w:r w:rsidRPr="00CF0C7D">
              <w:t>0,82</w:t>
            </w:r>
          </w:p>
        </w:tc>
      </w:tr>
      <w:tr w:rsidR="000B7D66" w:rsidRPr="00CF0C7D" w14:paraId="5A2C89E9" w14:textId="77777777" w:rsidTr="007A3644">
        <w:tc>
          <w:tcPr>
            <w:tcW w:w="2695" w:type="dxa"/>
          </w:tcPr>
          <w:p w14:paraId="2D0D3F5D" w14:textId="77777777" w:rsidR="000B7D66" w:rsidRPr="00CF0C7D" w:rsidRDefault="000B7D66" w:rsidP="000B7D66">
            <w:pPr>
              <w:rPr>
                <w:b/>
                <w:bCs/>
              </w:rPr>
            </w:pPr>
          </w:p>
        </w:tc>
        <w:tc>
          <w:tcPr>
            <w:tcW w:w="4950" w:type="dxa"/>
          </w:tcPr>
          <w:p w14:paraId="704494B8" w14:textId="76EB785B" w:rsidR="000B7D66" w:rsidRPr="00CF0C7D" w:rsidRDefault="000B7D66" w:rsidP="000B7D66">
            <w:pPr>
              <w:rPr>
                <w:b/>
                <w:bCs/>
              </w:rPr>
            </w:pPr>
            <w:r w:rsidRPr="00CF0C7D">
              <w:rPr>
                <w:b/>
                <w:bCs/>
              </w:rPr>
              <w:t>Étudiant international</w:t>
            </w:r>
          </w:p>
        </w:tc>
        <w:tc>
          <w:tcPr>
            <w:tcW w:w="990" w:type="dxa"/>
          </w:tcPr>
          <w:p w14:paraId="120A510E" w14:textId="4760AB5B" w:rsidR="000B7D66" w:rsidRPr="00CF0C7D" w:rsidRDefault="000B7D66" w:rsidP="000B7D66">
            <w:pPr>
              <w:rPr>
                <w:b/>
                <w:bCs/>
              </w:rPr>
            </w:pPr>
            <w:r w:rsidRPr="00CF0C7D">
              <w:rPr>
                <w:b/>
                <w:bCs/>
              </w:rPr>
              <w:t>0,15</w:t>
            </w:r>
          </w:p>
        </w:tc>
        <w:tc>
          <w:tcPr>
            <w:tcW w:w="840" w:type="dxa"/>
          </w:tcPr>
          <w:p w14:paraId="30D44374" w14:textId="4735E2B8" w:rsidR="000B7D66" w:rsidRPr="00CF0C7D" w:rsidRDefault="000B7D66" w:rsidP="000B7D66">
            <w:pPr>
              <w:rPr>
                <w:b/>
                <w:bCs/>
              </w:rPr>
            </w:pPr>
            <w:r w:rsidRPr="00CF0C7D">
              <w:rPr>
                <w:b/>
                <w:bCs/>
              </w:rPr>
              <w:t>0,01*</w:t>
            </w:r>
          </w:p>
        </w:tc>
      </w:tr>
      <w:tr w:rsidR="000B7D66" w:rsidRPr="00CF0C7D" w14:paraId="7DD79B90" w14:textId="77777777" w:rsidTr="007A3644">
        <w:tc>
          <w:tcPr>
            <w:tcW w:w="2695" w:type="dxa"/>
          </w:tcPr>
          <w:p w14:paraId="79B3A880" w14:textId="77777777" w:rsidR="000B7D66" w:rsidRPr="00CF0C7D" w:rsidRDefault="000B7D66" w:rsidP="000B7D66"/>
        </w:tc>
        <w:tc>
          <w:tcPr>
            <w:tcW w:w="4950" w:type="dxa"/>
          </w:tcPr>
          <w:p w14:paraId="7C54362D" w14:textId="3D2688F3" w:rsidR="000B7D66" w:rsidRPr="00CF0C7D" w:rsidRDefault="006F2E7D" w:rsidP="000B7D66">
            <w:r w:rsidRPr="006F2E7D">
              <w:t>Premières Nations, Inuit et Métis o</w:t>
            </w:r>
            <w:r w:rsidR="00D25C00">
              <w:t>u</w:t>
            </w:r>
            <w:r w:rsidRPr="006F2E7D">
              <w:t xml:space="preserve"> personnes autochtones au Canada</w:t>
            </w:r>
          </w:p>
        </w:tc>
        <w:tc>
          <w:tcPr>
            <w:tcW w:w="990" w:type="dxa"/>
          </w:tcPr>
          <w:p w14:paraId="45AF49F8" w14:textId="629AADE1" w:rsidR="000B7D66" w:rsidRPr="00CF0C7D" w:rsidRDefault="000B7D66" w:rsidP="000B7D66">
            <w:r w:rsidRPr="00CF0C7D">
              <w:t>-0,01</w:t>
            </w:r>
          </w:p>
        </w:tc>
        <w:tc>
          <w:tcPr>
            <w:tcW w:w="840" w:type="dxa"/>
          </w:tcPr>
          <w:p w14:paraId="70B57F0A" w14:textId="388E53E9" w:rsidR="000B7D66" w:rsidRPr="00CF0C7D" w:rsidRDefault="000B7D66" w:rsidP="000B7D66">
            <w:r w:rsidRPr="00CF0C7D">
              <w:t>0,81</w:t>
            </w:r>
          </w:p>
        </w:tc>
      </w:tr>
      <w:tr w:rsidR="000B7D66" w:rsidRPr="00CF0C7D" w14:paraId="5ED58223" w14:textId="77777777" w:rsidTr="007A3644">
        <w:tc>
          <w:tcPr>
            <w:tcW w:w="2695" w:type="dxa"/>
          </w:tcPr>
          <w:p w14:paraId="5377EA1C" w14:textId="77777777" w:rsidR="000B7D66" w:rsidRPr="00CF0C7D" w:rsidRDefault="000B7D66" w:rsidP="000B7D66"/>
        </w:tc>
        <w:tc>
          <w:tcPr>
            <w:tcW w:w="4950" w:type="dxa"/>
          </w:tcPr>
          <w:p w14:paraId="3A5D0552" w14:textId="07661F33" w:rsidR="000B7D66" w:rsidRPr="00CF0C7D" w:rsidRDefault="006F2E7D" w:rsidP="000B7D66">
            <w:r>
              <w:t>P</w:t>
            </w:r>
            <w:r w:rsidRPr="006F2E7D">
              <w:t>ersonnes noires au Canada</w:t>
            </w:r>
          </w:p>
        </w:tc>
        <w:tc>
          <w:tcPr>
            <w:tcW w:w="990" w:type="dxa"/>
          </w:tcPr>
          <w:p w14:paraId="1DA1E9C4" w14:textId="630D7930" w:rsidR="000B7D66" w:rsidRPr="00CF0C7D" w:rsidRDefault="000B7D66" w:rsidP="000B7D66">
            <w:r w:rsidRPr="00CF0C7D">
              <w:t>0,06</w:t>
            </w:r>
          </w:p>
        </w:tc>
        <w:tc>
          <w:tcPr>
            <w:tcW w:w="840" w:type="dxa"/>
          </w:tcPr>
          <w:p w14:paraId="6791C8E9" w14:textId="09CDD5C3" w:rsidR="000B7D66" w:rsidRPr="00CF0C7D" w:rsidRDefault="000B7D66" w:rsidP="000B7D66">
            <w:r w:rsidRPr="00CF0C7D">
              <w:t>0,34</w:t>
            </w:r>
          </w:p>
        </w:tc>
      </w:tr>
      <w:tr w:rsidR="00E74A8A" w:rsidRPr="00CF0C7D" w14:paraId="5855FBC3" w14:textId="77777777" w:rsidTr="007A3644">
        <w:tc>
          <w:tcPr>
            <w:tcW w:w="2695" w:type="dxa"/>
          </w:tcPr>
          <w:p w14:paraId="3FEE5D58" w14:textId="77777777" w:rsidR="00E74A8A" w:rsidRPr="00CF0C7D" w:rsidRDefault="00E74A8A" w:rsidP="00E74A8A"/>
        </w:tc>
        <w:tc>
          <w:tcPr>
            <w:tcW w:w="4950" w:type="dxa"/>
          </w:tcPr>
          <w:p w14:paraId="367FD0A3" w14:textId="64FDD9D6" w:rsidR="00E74A8A" w:rsidRPr="00CF0C7D" w:rsidRDefault="00E74A8A" w:rsidP="00E74A8A">
            <w:r>
              <w:t>P</w:t>
            </w:r>
            <w:r w:rsidRPr="00E74A8A">
              <w:t>ersonnes d’origine est-asiatique</w:t>
            </w:r>
          </w:p>
        </w:tc>
        <w:tc>
          <w:tcPr>
            <w:tcW w:w="990" w:type="dxa"/>
          </w:tcPr>
          <w:p w14:paraId="6073C49F" w14:textId="16EF0839" w:rsidR="00E74A8A" w:rsidRPr="00CF0C7D" w:rsidRDefault="00E74A8A" w:rsidP="00E74A8A">
            <w:r w:rsidRPr="00CF0C7D">
              <w:t>-0,06</w:t>
            </w:r>
          </w:p>
        </w:tc>
        <w:tc>
          <w:tcPr>
            <w:tcW w:w="840" w:type="dxa"/>
          </w:tcPr>
          <w:p w14:paraId="544AE592" w14:textId="7BA87CEF" w:rsidR="00E74A8A" w:rsidRPr="00CF0C7D" w:rsidRDefault="00E74A8A" w:rsidP="00E74A8A">
            <w:r w:rsidRPr="00CF0C7D">
              <w:t>0,32</w:t>
            </w:r>
          </w:p>
        </w:tc>
      </w:tr>
      <w:tr w:rsidR="00E74A8A" w:rsidRPr="00CF0C7D" w14:paraId="1504625D" w14:textId="77777777" w:rsidTr="007A3644">
        <w:tc>
          <w:tcPr>
            <w:tcW w:w="2695" w:type="dxa"/>
          </w:tcPr>
          <w:p w14:paraId="75A84CFD" w14:textId="77777777" w:rsidR="00E74A8A" w:rsidRPr="00CF0C7D" w:rsidRDefault="00E74A8A" w:rsidP="00E74A8A"/>
        </w:tc>
        <w:tc>
          <w:tcPr>
            <w:tcW w:w="4950" w:type="dxa"/>
          </w:tcPr>
          <w:p w14:paraId="549E8E5B" w14:textId="76C61634" w:rsidR="00E74A8A" w:rsidRPr="00CF0C7D" w:rsidRDefault="00E74A8A" w:rsidP="00E74A8A">
            <w:r>
              <w:t>P</w:t>
            </w:r>
            <w:r w:rsidRPr="00DC156C">
              <w:t>ersonnes latino-américaines</w:t>
            </w:r>
          </w:p>
        </w:tc>
        <w:tc>
          <w:tcPr>
            <w:tcW w:w="990" w:type="dxa"/>
          </w:tcPr>
          <w:p w14:paraId="61C80A0E" w14:textId="6B1B27C1" w:rsidR="00E74A8A" w:rsidRPr="00CF0C7D" w:rsidRDefault="00E74A8A" w:rsidP="00E74A8A">
            <w:r w:rsidRPr="00CF0C7D">
              <w:t>0,03</w:t>
            </w:r>
          </w:p>
        </w:tc>
        <w:tc>
          <w:tcPr>
            <w:tcW w:w="840" w:type="dxa"/>
          </w:tcPr>
          <w:p w14:paraId="5236A27C" w14:textId="6AAFF720" w:rsidR="00E74A8A" w:rsidRPr="00CF0C7D" w:rsidRDefault="00E74A8A" w:rsidP="00E74A8A">
            <w:r w:rsidRPr="00CF0C7D">
              <w:t>0,62</w:t>
            </w:r>
          </w:p>
        </w:tc>
      </w:tr>
      <w:tr w:rsidR="00E74A8A" w:rsidRPr="00CF0C7D" w14:paraId="4CF4FF59" w14:textId="77777777" w:rsidTr="007A3644">
        <w:tc>
          <w:tcPr>
            <w:tcW w:w="2695" w:type="dxa"/>
          </w:tcPr>
          <w:p w14:paraId="643E522A" w14:textId="77777777" w:rsidR="00E74A8A" w:rsidRPr="00CF0C7D" w:rsidRDefault="00E74A8A" w:rsidP="00E74A8A"/>
        </w:tc>
        <w:tc>
          <w:tcPr>
            <w:tcW w:w="4950" w:type="dxa"/>
          </w:tcPr>
          <w:p w14:paraId="45E300EE" w14:textId="5883600B" w:rsidR="00E74A8A" w:rsidRPr="00CF0C7D" w:rsidRDefault="00E74A8A" w:rsidP="00E74A8A">
            <w:r>
              <w:t>P</w:t>
            </w:r>
            <w:r w:rsidRPr="00E74A8A">
              <w:t>ersonnes d’origine</w:t>
            </w:r>
            <w:r w:rsidRPr="00CF0C7D">
              <w:t xml:space="preserve"> du Moyen-Orient, d’Afrique du Nord ou d’Asie de l’Ouest</w:t>
            </w:r>
          </w:p>
        </w:tc>
        <w:tc>
          <w:tcPr>
            <w:tcW w:w="990" w:type="dxa"/>
          </w:tcPr>
          <w:p w14:paraId="30A784FA" w14:textId="0BD10809" w:rsidR="00E74A8A" w:rsidRPr="00CF0C7D" w:rsidRDefault="00E74A8A" w:rsidP="00E74A8A">
            <w:r w:rsidRPr="00CF0C7D">
              <w:t>0,09</w:t>
            </w:r>
          </w:p>
        </w:tc>
        <w:tc>
          <w:tcPr>
            <w:tcW w:w="840" w:type="dxa"/>
          </w:tcPr>
          <w:p w14:paraId="25A52E7C" w14:textId="1AA9445A" w:rsidR="00E74A8A" w:rsidRPr="00CF0C7D" w:rsidRDefault="00E74A8A" w:rsidP="00E74A8A">
            <w:r w:rsidRPr="00CF0C7D">
              <w:t>0,16</w:t>
            </w:r>
          </w:p>
        </w:tc>
      </w:tr>
      <w:tr w:rsidR="00E74A8A" w:rsidRPr="00CF0C7D" w14:paraId="288EDF2F" w14:textId="77777777" w:rsidTr="007A3644">
        <w:tc>
          <w:tcPr>
            <w:tcW w:w="2695" w:type="dxa"/>
          </w:tcPr>
          <w:p w14:paraId="6DF4CAED" w14:textId="77777777" w:rsidR="00E74A8A" w:rsidRPr="00CF0C7D" w:rsidRDefault="00E74A8A" w:rsidP="00E74A8A"/>
        </w:tc>
        <w:tc>
          <w:tcPr>
            <w:tcW w:w="4950" w:type="dxa"/>
          </w:tcPr>
          <w:p w14:paraId="6319DEE1" w14:textId="42422384" w:rsidR="00E74A8A" w:rsidRPr="00CF0C7D" w:rsidRDefault="00E74A8A" w:rsidP="00E74A8A">
            <w:r>
              <w:t>P</w:t>
            </w:r>
            <w:r w:rsidRPr="00E74A8A">
              <w:t xml:space="preserve">ersonnes d’origine </w:t>
            </w:r>
            <w:r w:rsidRPr="00CF0C7D">
              <w:t>sud-asiatique</w:t>
            </w:r>
          </w:p>
        </w:tc>
        <w:tc>
          <w:tcPr>
            <w:tcW w:w="990" w:type="dxa"/>
          </w:tcPr>
          <w:p w14:paraId="72885672" w14:textId="6D2DEA8D" w:rsidR="00E74A8A" w:rsidRPr="00CF0C7D" w:rsidRDefault="00E74A8A" w:rsidP="00E74A8A">
            <w:r w:rsidRPr="00CF0C7D">
              <w:t>0,06</w:t>
            </w:r>
          </w:p>
        </w:tc>
        <w:tc>
          <w:tcPr>
            <w:tcW w:w="840" w:type="dxa"/>
          </w:tcPr>
          <w:p w14:paraId="73694527" w14:textId="2434DA59" w:rsidR="00E74A8A" w:rsidRPr="00CF0C7D" w:rsidRDefault="00E74A8A" w:rsidP="00E74A8A">
            <w:r w:rsidRPr="00CF0C7D">
              <w:t>0,32</w:t>
            </w:r>
          </w:p>
        </w:tc>
      </w:tr>
      <w:tr w:rsidR="00E74A8A" w:rsidRPr="00CF0C7D" w14:paraId="2AEB120C" w14:textId="77777777" w:rsidTr="007A3644">
        <w:tc>
          <w:tcPr>
            <w:tcW w:w="2695" w:type="dxa"/>
          </w:tcPr>
          <w:p w14:paraId="0C14C4DA" w14:textId="77777777" w:rsidR="00E74A8A" w:rsidRPr="00CF0C7D" w:rsidRDefault="00E74A8A" w:rsidP="00E74A8A"/>
        </w:tc>
        <w:tc>
          <w:tcPr>
            <w:tcW w:w="4950" w:type="dxa"/>
          </w:tcPr>
          <w:p w14:paraId="13D08A35" w14:textId="44B8D508" w:rsidR="00E74A8A" w:rsidRPr="00CF0C7D" w:rsidRDefault="00E74A8A" w:rsidP="00E74A8A">
            <w:r>
              <w:t>P</w:t>
            </w:r>
            <w:r w:rsidRPr="00E74A8A">
              <w:t>ersonnes d’origine</w:t>
            </w:r>
            <w:r w:rsidRPr="00CF0C7D">
              <w:t xml:space="preserve"> sud-est-asiatique</w:t>
            </w:r>
          </w:p>
        </w:tc>
        <w:tc>
          <w:tcPr>
            <w:tcW w:w="990" w:type="dxa"/>
          </w:tcPr>
          <w:p w14:paraId="4252D0C5" w14:textId="158C26A6" w:rsidR="00E74A8A" w:rsidRPr="00CF0C7D" w:rsidRDefault="00E74A8A" w:rsidP="00E74A8A">
            <w:r w:rsidRPr="00CF0C7D">
              <w:t>0,09</w:t>
            </w:r>
          </w:p>
        </w:tc>
        <w:tc>
          <w:tcPr>
            <w:tcW w:w="840" w:type="dxa"/>
          </w:tcPr>
          <w:p w14:paraId="7E1FF446" w14:textId="31A1B8A2" w:rsidR="00E74A8A" w:rsidRPr="00CF0C7D" w:rsidRDefault="00E74A8A" w:rsidP="00E74A8A">
            <w:r w:rsidRPr="00CF0C7D">
              <w:t>0,15</w:t>
            </w:r>
          </w:p>
        </w:tc>
      </w:tr>
      <w:tr w:rsidR="00E74A8A" w:rsidRPr="00CF0C7D" w14:paraId="77638ACF" w14:textId="77777777" w:rsidTr="007A3644">
        <w:tc>
          <w:tcPr>
            <w:tcW w:w="2695" w:type="dxa"/>
          </w:tcPr>
          <w:p w14:paraId="17203080" w14:textId="77777777" w:rsidR="00E74A8A" w:rsidRPr="00CF0C7D" w:rsidRDefault="00E74A8A" w:rsidP="00E74A8A"/>
        </w:tc>
        <w:tc>
          <w:tcPr>
            <w:tcW w:w="4950" w:type="dxa"/>
          </w:tcPr>
          <w:p w14:paraId="48F165AF" w14:textId="03875749" w:rsidR="00E74A8A" w:rsidRPr="00CF0C7D" w:rsidRDefault="00E74A8A" w:rsidP="00E74A8A">
            <w:r>
              <w:t>P</w:t>
            </w:r>
            <w:r w:rsidRPr="00E74A8A">
              <w:t>ersonnes blanches</w:t>
            </w:r>
          </w:p>
        </w:tc>
        <w:tc>
          <w:tcPr>
            <w:tcW w:w="990" w:type="dxa"/>
          </w:tcPr>
          <w:p w14:paraId="6FD6B37A" w14:textId="3CB378DC" w:rsidR="00E74A8A" w:rsidRPr="00CF0C7D" w:rsidRDefault="00E74A8A" w:rsidP="00E74A8A">
            <w:r w:rsidRPr="00CF0C7D">
              <w:t>-0,10</w:t>
            </w:r>
          </w:p>
        </w:tc>
        <w:tc>
          <w:tcPr>
            <w:tcW w:w="840" w:type="dxa"/>
          </w:tcPr>
          <w:p w14:paraId="1AB04569" w14:textId="19BAE2F6" w:rsidR="00E74A8A" w:rsidRPr="00CF0C7D" w:rsidRDefault="00E74A8A" w:rsidP="00E74A8A">
            <w:r w:rsidRPr="00CF0C7D">
              <w:t>0,13</w:t>
            </w:r>
          </w:p>
        </w:tc>
      </w:tr>
      <w:tr w:rsidR="00E74A8A" w:rsidRPr="00CF0C7D" w14:paraId="3EECF7E3" w14:textId="77777777" w:rsidTr="007A3644">
        <w:tc>
          <w:tcPr>
            <w:tcW w:w="2695" w:type="dxa"/>
            <w:tcBorders>
              <w:bottom w:val="single" w:sz="4" w:space="0" w:color="auto"/>
            </w:tcBorders>
          </w:tcPr>
          <w:p w14:paraId="40D113D8" w14:textId="77777777" w:rsidR="00E74A8A" w:rsidRPr="00CF0C7D" w:rsidRDefault="00E74A8A" w:rsidP="00E74A8A"/>
        </w:tc>
        <w:tc>
          <w:tcPr>
            <w:tcW w:w="4950" w:type="dxa"/>
            <w:tcBorders>
              <w:bottom w:val="single" w:sz="4" w:space="0" w:color="auto"/>
            </w:tcBorders>
          </w:tcPr>
          <w:p w14:paraId="2FF32DFF" w14:textId="5F92938A" w:rsidR="00E74A8A" w:rsidRPr="00CF0C7D" w:rsidRDefault="00E74A8A" w:rsidP="00E74A8A">
            <w:r w:rsidRPr="00CF0C7D">
              <w:t>Minorité visible</w:t>
            </w:r>
          </w:p>
        </w:tc>
        <w:tc>
          <w:tcPr>
            <w:tcW w:w="990" w:type="dxa"/>
            <w:tcBorders>
              <w:bottom w:val="single" w:sz="4" w:space="0" w:color="auto"/>
            </w:tcBorders>
          </w:tcPr>
          <w:p w14:paraId="1F385207" w14:textId="4C305F7F" w:rsidR="00E74A8A" w:rsidRPr="00CF0C7D" w:rsidRDefault="00E74A8A" w:rsidP="00E74A8A">
            <w:r w:rsidRPr="00CF0C7D">
              <w:t>0,09</w:t>
            </w:r>
          </w:p>
        </w:tc>
        <w:tc>
          <w:tcPr>
            <w:tcW w:w="840" w:type="dxa"/>
            <w:tcBorders>
              <w:bottom w:val="single" w:sz="4" w:space="0" w:color="auto"/>
            </w:tcBorders>
          </w:tcPr>
          <w:p w14:paraId="4EAF8778" w14:textId="76CC613A" w:rsidR="00E74A8A" w:rsidRPr="00CF0C7D" w:rsidRDefault="00E74A8A" w:rsidP="00E74A8A">
            <w:r w:rsidRPr="00CF0C7D">
              <w:t>0,12</w:t>
            </w:r>
          </w:p>
        </w:tc>
      </w:tr>
      <w:tr w:rsidR="00E74A8A" w:rsidRPr="00CF0C7D" w14:paraId="52F30D7B" w14:textId="77777777" w:rsidTr="007A3644">
        <w:tc>
          <w:tcPr>
            <w:tcW w:w="2695" w:type="dxa"/>
            <w:tcBorders>
              <w:top w:val="single" w:sz="4" w:space="0" w:color="auto"/>
            </w:tcBorders>
          </w:tcPr>
          <w:p w14:paraId="23EE8B85" w14:textId="77777777" w:rsidR="00E74A8A" w:rsidRPr="00CF0C7D" w:rsidRDefault="00E74A8A" w:rsidP="00E74A8A"/>
        </w:tc>
        <w:tc>
          <w:tcPr>
            <w:tcW w:w="4950" w:type="dxa"/>
            <w:tcBorders>
              <w:top w:val="single" w:sz="4" w:space="0" w:color="auto"/>
            </w:tcBorders>
          </w:tcPr>
          <w:p w14:paraId="116B2ECF" w14:textId="5F5F889C" w:rsidR="00E74A8A" w:rsidRPr="00CF0C7D" w:rsidRDefault="00E74A8A" w:rsidP="00E74A8A">
            <w:r w:rsidRPr="00CF0C7D">
              <w:t>Nombre de handicaps</w:t>
            </w:r>
          </w:p>
        </w:tc>
        <w:tc>
          <w:tcPr>
            <w:tcW w:w="990" w:type="dxa"/>
            <w:tcBorders>
              <w:top w:val="single" w:sz="4" w:space="0" w:color="auto"/>
            </w:tcBorders>
          </w:tcPr>
          <w:p w14:paraId="57EF653C" w14:textId="56C172BF" w:rsidR="00E74A8A" w:rsidRPr="00CF0C7D" w:rsidRDefault="00E74A8A" w:rsidP="00E74A8A">
            <w:r w:rsidRPr="00CF0C7D">
              <w:t>-0,08</w:t>
            </w:r>
          </w:p>
        </w:tc>
        <w:tc>
          <w:tcPr>
            <w:tcW w:w="840" w:type="dxa"/>
            <w:tcBorders>
              <w:top w:val="single" w:sz="4" w:space="0" w:color="auto"/>
            </w:tcBorders>
          </w:tcPr>
          <w:p w14:paraId="160B84D1" w14:textId="11D750D9" w:rsidR="00E74A8A" w:rsidRPr="00CF0C7D" w:rsidRDefault="00E74A8A" w:rsidP="00E74A8A">
            <w:r w:rsidRPr="00CF0C7D">
              <w:t>0,16</w:t>
            </w:r>
          </w:p>
        </w:tc>
      </w:tr>
      <w:tr w:rsidR="00E74A8A" w:rsidRPr="00CF0C7D" w14:paraId="0D84884A" w14:textId="77777777" w:rsidTr="007A3644">
        <w:tc>
          <w:tcPr>
            <w:tcW w:w="2695" w:type="dxa"/>
          </w:tcPr>
          <w:p w14:paraId="5159136E" w14:textId="77777777" w:rsidR="00E74A8A" w:rsidRPr="00CF0C7D" w:rsidRDefault="00E74A8A" w:rsidP="00E74A8A"/>
        </w:tc>
        <w:tc>
          <w:tcPr>
            <w:tcW w:w="4950" w:type="dxa"/>
          </w:tcPr>
          <w:p w14:paraId="614B4471" w14:textId="39DF06CC" w:rsidR="00E74A8A" w:rsidRPr="00CF0C7D" w:rsidRDefault="00E74A8A" w:rsidP="00E74A8A">
            <w:r w:rsidRPr="00CF0C7D">
              <w:t>Handicap non apparent</w:t>
            </w:r>
          </w:p>
        </w:tc>
        <w:tc>
          <w:tcPr>
            <w:tcW w:w="990" w:type="dxa"/>
          </w:tcPr>
          <w:p w14:paraId="1F8D88F5" w14:textId="565BF548" w:rsidR="00E74A8A" w:rsidRPr="00CF0C7D" w:rsidRDefault="00E74A8A" w:rsidP="00E74A8A">
            <w:r w:rsidRPr="00CF0C7D">
              <w:t>0,02</w:t>
            </w:r>
          </w:p>
        </w:tc>
        <w:tc>
          <w:tcPr>
            <w:tcW w:w="840" w:type="dxa"/>
          </w:tcPr>
          <w:p w14:paraId="13CBD3AE" w14:textId="0C45592C" w:rsidR="00E74A8A" w:rsidRPr="00CF0C7D" w:rsidRDefault="00E74A8A" w:rsidP="00E74A8A">
            <w:r w:rsidRPr="00CF0C7D">
              <w:t>0,76</w:t>
            </w:r>
          </w:p>
        </w:tc>
      </w:tr>
      <w:tr w:rsidR="00E74A8A" w:rsidRPr="00CF0C7D" w14:paraId="621EF0B0" w14:textId="77777777" w:rsidTr="007A3644">
        <w:tc>
          <w:tcPr>
            <w:tcW w:w="2695" w:type="dxa"/>
          </w:tcPr>
          <w:p w14:paraId="196B6ABB" w14:textId="77777777" w:rsidR="00E74A8A" w:rsidRPr="00CF0C7D" w:rsidRDefault="00E74A8A" w:rsidP="00E74A8A"/>
        </w:tc>
        <w:tc>
          <w:tcPr>
            <w:tcW w:w="4950" w:type="dxa"/>
          </w:tcPr>
          <w:p w14:paraId="48EA36FD" w14:textId="7B2F6A4B" w:rsidR="00E74A8A" w:rsidRPr="00CF0C7D" w:rsidRDefault="00E74A8A" w:rsidP="00E74A8A">
            <w:r w:rsidRPr="00CF0C7D">
              <w:t>Santé mentale</w:t>
            </w:r>
          </w:p>
        </w:tc>
        <w:tc>
          <w:tcPr>
            <w:tcW w:w="990" w:type="dxa"/>
          </w:tcPr>
          <w:p w14:paraId="5C4C6472" w14:textId="20DDBA94" w:rsidR="00E74A8A" w:rsidRPr="00CF0C7D" w:rsidRDefault="00E74A8A" w:rsidP="00E74A8A">
            <w:r w:rsidRPr="00CF0C7D">
              <w:t>-0,05</w:t>
            </w:r>
          </w:p>
        </w:tc>
        <w:tc>
          <w:tcPr>
            <w:tcW w:w="840" w:type="dxa"/>
          </w:tcPr>
          <w:p w14:paraId="79B64FC3" w14:textId="5B7A9345" w:rsidR="00E74A8A" w:rsidRPr="00CF0C7D" w:rsidRDefault="00E74A8A" w:rsidP="00E74A8A">
            <w:r w:rsidRPr="00CF0C7D">
              <w:t>0,43</w:t>
            </w:r>
          </w:p>
        </w:tc>
      </w:tr>
      <w:tr w:rsidR="00E74A8A" w:rsidRPr="00CF0C7D" w14:paraId="5AAF8952" w14:textId="77777777" w:rsidTr="007A3644">
        <w:tc>
          <w:tcPr>
            <w:tcW w:w="2695" w:type="dxa"/>
          </w:tcPr>
          <w:p w14:paraId="33339AC2" w14:textId="77777777" w:rsidR="00E74A8A" w:rsidRPr="00CF0C7D" w:rsidRDefault="00E74A8A" w:rsidP="00E74A8A"/>
        </w:tc>
        <w:tc>
          <w:tcPr>
            <w:tcW w:w="4950" w:type="dxa"/>
          </w:tcPr>
          <w:p w14:paraId="5DC4D1CD" w14:textId="5BB5ADAD" w:rsidR="00E74A8A" w:rsidRPr="00CF0C7D" w:rsidRDefault="00E74A8A" w:rsidP="00E74A8A">
            <w:r w:rsidRPr="00CF0C7D">
              <w:t>Apprentissage</w:t>
            </w:r>
          </w:p>
        </w:tc>
        <w:tc>
          <w:tcPr>
            <w:tcW w:w="990" w:type="dxa"/>
          </w:tcPr>
          <w:p w14:paraId="62B190B1" w14:textId="555F87E5" w:rsidR="00E74A8A" w:rsidRPr="00CF0C7D" w:rsidRDefault="00E74A8A" w:rsidP="00E74A8A">
            <w:r w:rsidRPr="00CF0C7D">
              <w:t>-0,01</w:t>
            </w:r>
          </w:p>
        </w:tc>
        <w:tc>
          <w:tcPr>
            <w:tcW w:w="840" w:type="dxa"/>
          </w:tcPr>
          <w:p w14:paraId="5108D3BB" w14:textId="0870B74E" w:rsidR="00E74A8A" w:rsidRPr="00CF0C7D" w:rsidRDefault="00E74A8A" w:rsidP="00E74A8A">
            <w:r w:rsidRPr="00CF0C7D">
              <w:t>0,87</w:t>
            </w:r>
          </w:p>
        </w:tc>
      </w:tr>
      <w:tr w:rsidR="00E74A8A" w:rsidRPr="00CF0C7D" w14:paraId="44F188BB" w14:textId="77777777" w:rsidTr="007A3644">
        <w:tc>
          <w:tcPr>
            <w:tcW w:w="2695" w:type="dxa"/>
          </w:tcPr>
          <w:p w14:paraId="306D3CB3" w14:textId="77777777" w:rsidR="00E74A8A" w:rsidRPr="00CF0C7D" w:rsidRDefault="00E74A8A" w:rsidP="00E74A8A"/>
        </w:tc>
        <w:tc>
          <w:tcPr>
            <w:tcW w:w="4950" w:type="dxa"/>
          </w:tcPr>
          <w:p w14:paraId="69BE733F" w14:textId="73A21F32" w:rsidR="00E74A8A" w:rsidRPr="00CF0C7D" w:rsidRDefault="00E74A8A" w:rsidP="00E74A8A">
            <w:r w:rsidRPr="00CF0C7D">
              <w:rPr>
                <w:lang w:eastAsia="en-US"/>
              </w:rPr>
              <w:t>Médical</w:t>
            </w:r>
          </w:p>
        </w:tc>
        <w:tc>
          <w:tcPr>
            <w:tcW w:w="990" w:type="dxa"/>
          </w:tcPr>
          <w:p w14:paraId="4A581805" w14:textId="4CED3BB9" w:rsidR="00E74A8A" w:rsidRPr="00CF0C7D" w:rsidRDefault="00E74A8A" w:rsidP="00E74A8A">
            <w:r w:rsidRPr="00CF0C7D">
              <w:t>-0,07</w:t>
            </w:r>
          </w:p>
        </w:tc>
        <w:tc>
          <w:tcPr>
            <w:tcW w:w="840" w:type="dxa"/>
          </w:tcPr>
          <w:p w14:paraId="309E5361" w14:textId="6734DAC3" w:rsidR="00E74A8A" w:rsidRPr="00CF0C7D" w:rsidRDefault="00E74A8A" w:rsidP="00E74A8A">
            <w:r w:rsidRPr="00CF0C7D">
              <w:t>0,23</w:t>
            </w:r>
          </w:p>
        </w:tc>
      </w:tr>
      <w:tr w:rsidR="00E74A8A" w:rsidRPr="00CF0C7D" w14:paraId="6A817149" w14:textId="77777777" w:rsidTr="007A3644">
        <w:tc>
          <w:tcPr>
            <w:tcW w:w="2695" w:type="dxa"/>
          </w:tcPr>
          <w:p w14:paraId="01173545" w14:textId="77777777" w:rsidR="00E74A8A" w:rsidRPr="00CF0C7D" w:rsidRDefault="00E74A8A" w:rsidP="00E74A8A"/>
        </w:tc>
        <w:tc>
          <w:tcPr>
            <w:tcW w:w="4950" w:type="dxa"/>
          </w:tcPr>
          <w:p w14:paraId="7263488B" w14:textId="16433DEF" w:rsidR="00E74A8A" w:rsidRPr="00CF0C7D" w:rsidRDefault="00E74A8A" w:rsidP="00E74A8A">
            <w:r w:rsidRPr="00CF0C7D">
              <w:rPr>
                <w:lang w:eastAsia="en-US"/>
              </w:rPr>
              <w:t>Sensorial</w:t>
            </w:r>
          </w:p>
        </w:tc>
        <w:tc>
          <w:tcPr>
            <w:tcW w:w="990" w:type="dxa"/>
          </w:tcPr>
          <w:p w14:paraId="65E2EA57" w14:textId="441918C0" w:rsidR="00E74A8A" w:rsidRPr="00CF0C7D" w:rsidRDefault="00E74A8A" w:rsidP="00E74A8A">
            <w:r w:rsidRPr="00CF0C7D">
              <w:t>-0,06</w:t>
            </w:r>
          </w:p>
        </w:tc>
        <w:tc>
          <w:tcPr>
            <w:tcW w:w="840" w:type="dxa"/>
          </w:tcPr>
          <w:p w14:paraId="4D44FBEC" w14:textId="71B96A37" w:rsidR="00E74A8A" w:rsidRPr="00CF0C7D" w:rsidRDefault="00E74A8A" w:rsidP="00E74A8A">
            <w:r w:rsidRPr="00CF0C7D">
              <w:t>0,36</w:t>
            </w:r>
          </w:p>
        </w:tc>
      </w:tr>
      <w:tr w:rsidR="00E74A8A" w:rsidRPr="00CF0C7D" w14:paraId="7DF7B702" w14:textId="77777777" w:rsidTr="007A3644">
        <w:tc>
          <w:tcPr>
            <w:tcW w:w="2695" w:type="dxa"/>
          </w:tcPr>
          <w:p w14:paraId="02E3F496" w14:textId="77777777" w:rsidR="00E74A8A" w:rsidRPr="00CF0C7D" w:rsidRDefault="00E74A8A" w:rsidP="00E74A8A"/>
        </w:tc>
        <w:tc>
          <w:tcPr>
            <w:tcW w:w="4950" w:type="dxa"/>
          </w:tcPr>
          <w:p w14:paraId="7E2AC3A7" w14:textId="519FCF15" w:rsidR="00E74A8A" w:rsidRPr="00CF0C7D" w:rsidRDefault="00E74A8A" w:rsidP="00E74A8A">
            <w:r w:rsidRPr="00CF0C7D">
              <w:rPr>
                <w:lang w:eastAsia="en-US"/>
              </w:rPr>
              <w:t>Mobilité/agilité</w:t>
            </w:r>
          </w:p>
        </w:tc>
        <w:tc>
          <w:tcPr>
            <w:tcW w:w="990" w:type="dxa"/>
          </w:tcPr>
          <w:p w14:paraId="49A0E178" w14:textId="712CB816" w:rsidR="00E74A8A" w:rsidRPr="00CF0C7D" w:rsidRDefault="00E74A8A" w:rsidP="00E74A8A">
            <w:r w:rsidRPr="00CF0C7D">
              <w:t>-0,10</w:t>
            </w:r>
          </w:p>
        </w:tc>
        <w:tc>
          <w:tcPr>
            <w:tcW w:w="840" w:type="dxa"/>
          </w:tcPr>
          <w:p w14:paraId="3BF6967B" w14:textId="220B6301" w:rsidR="00E74A8A" w:rsidRPr="00CF0C7D" w:rsidRDefault="00E74A8A" w:rsidP="00E74A8A">
            <w:r w:rsidRPr="00CF0C7D">
              <w:t>0,10</w:t>
            </w:r>
          </w:p>
        </w:tc>
      </w:tr>
      <w:tr w:rsidR="00E74A8A" w:rsidRPr="00CF0C7D" w14:paraId="5F395DA1" w14:textId="77777777" w:rsidTr="007A3644">
        <w:tc>
          <w:tcPr>
            <w:tcW w:w="2695" w:type="dxa"/>
          </w:tcPr>
          <w:p w14:paraId="2334CF20" w14:textId="77777777" w:rsidR="00E74A8A" w:rsidRPr="00CF0C7D" w:rsidRDefault="00E74A8A" w:rsidP="00E74A8A"/>
        </w:tc>
        <w:tc>
          <w:tcPr>
            <w:tcW w:w="4950" w:type="dxa"/>
          </w:tcPr>
          <w:p w14:paraId="3BFABACB" w14:textId="6F314060" w:rsidR="00E74A8A" w:rsidRPr="00CF0C7D" w:rsidRDefault="00E74A8A" w:rsidP="00E74A8A">
            <w:r w:rsidRPr="00CF0C7D">
              <w:rPr>
                <w:lang w:eastAsia="en-US"/>
              </w:rPr>
              <w:t>Développement</w:t>
            </w:r>
          </w:p>
        </w:tc>
        <w:tc>
          <w:tcPr>
            <w:tcW w:w="990" w:type="dxa"/>
          </w:tcPr>
          <w:p w14:paraId="1CDCD21E" w14:textId="5B9F2AC9" w:rsidR="00E74A8A" w:rsidRPr="00CF0C7D" w:rsidRDefault="00E74A8A" w:rsidP="00E74A8A">
            <w:r w:rsidRPr="00CF0C7D">
              <w:t>-0,01</w:t>
            </w:r>
          </w:p>
        </w:tc>
        <w:tc>
          <w:tcPr>
            <w:tcW w:w="840" w:type="dxa"/>
          </w:tcPr>
          <w:p w14:paraId="5E75909A" w14:textId="5DA1C4E5" w:rsidR="00E74A8A" w:rsidRPr="00CF0C7D" w:rsidRDefault="00E74A8A" w:rsidP="00E74A8A">
            <w:r w:rsidRPr="00CF0C7D">
              <w:t>0,88</w:t>
            </w:r>
          </w:p>
        </w:tc>
      </w:tr>
      <w:tr w:rsidR="00E74A8A" w:rsidRPr="00CF0C7D" w14:paraId="481FB732" w14:textId="77777777" w:rsidTr="007A3644">
        <w:tc>
          <w:tcPr>
            <w:tcW w:w="2695" w:type="dxa"/>
          </w:tcPr>
          <w:p w14:paraId="36C9C2BB" w14:textId="77777777" w:rsidR="00E74A8A" w:rsidRPr="00CF0C7D" w:rsidRDefault="00E74A8A" w:rsidP="00E74A8A"/>
        </w:tc>
        <w:tc>
          <w:tcPr>
            <w:tcW w:w="4950" w:type="dxa"/>
          </w:tcPr>
          <w:p w14:paraId="75404038" w14:textId="6CA05F08" w:rsidR="00E74A8A" w:rsidRPr="00CF0C7D" w:rsidRDefault="00E74A8A" w:rsidP="00E74A8A">
            <w:r w:rsidRPr="00CF0C7D">
              <w:rPr>
                <w:lang w:eastAsia="en-US"/>
              </w:rPr>
              <w:t>Communication</w:t>
            </w:r>
          </w:p>
        </w:tc>
        <w:tc>
          <w:tcPr>
            <w:tcW w:w="990" w:type="dxa"/>
          </w:tcPr>
          <w:p w14:paraId="3CEC9EB4" w14:textId="04395889" w:rsidR="00E74A8A" w:rsidRPr="00CF0C7D" w:rsidRDefault="00E74A8A" w:rsidP="00E74A8A">
            <w:r w:rsidRPr="00CF0C7D">
              <w:t>0,05</w:t>
            </w:r>
          </w:p>
        </w:tc>
        <w:tc>
          <w:tcPr>
            <w:tcW w:w="840" w:type="dxa"/>
          </w:tcPr>
          <w:p w14:paraId="5C912AB1" w14:textId="294881A1" w:rsidR="00E74A8A" w:rsidRPr="00CF0C7D" w:rsidRDefault="00E74A8A" w:rsidP="00E74A8A">
            <w:r w:rsidRPr="00CF0C7D">
              <w:t>0,36</w:t>
            </w:r>
          </w:p>
        </w:tc>
      </w:tr>
      <w:tr w:rsidR="00E74A8A" w:rsidRPr="00CF0C7D" w14:paraId="2E6EF10B" w14:textId="77777777" w:rsidTr="007A3644">
        <w:tc>
          <w:tcPr>
            <w:tcW w:w="2695" w:type="dxa"/>
          </w:tcPr>
          <w:p w14:paraId="03C3CC6A" w14:textId="77777777" w:rsidR="00E74A8A" w:rsidRPr="00CF0C7D" w:rsidRDefault="00E74A8A" w:rsidP="00E74A8A"/>
        </w:tc>
        <w:tc>
          <w:tcPr>
            <w:tcW w:w="4950" w:type="dxa"/>
          </w:tcPr>
          <w:p w14:paraId="0985AA6B" w14:textId="17C5B0CB" w:rsidR="00E74A8A" w:rsidRPr="00CF0C7D" w:rsidRDefault="00E74A8A" w:rsidP="00E74A8A">
            <w:r w:rsidRPr="00CF0C7D">
              <w:rPr>
                <w:lang w:eastAsia="en-US"/>
              </w:rPr>
              <w:t>Motricité/dextérité</w:t>
            </w:r>
          </w:p>
        </w:tc>
        <w:tc>
          <w:tcPr>
            <w:tcW w:w="990" w:type="dxa"/>
          </w:tcPr>
          <w:p w14:paraId="67E78F47" w14:textId="27062862" w:rsidR="00E74A8A" w:rsidRPr="00CF0C7D" w:rsidRDefault="00E74A8A" w:rsidP="00E74A8A">
            <w:r w:rsidRPr="00CF0C7D">
              <w:t>0,07</w:t>
            </w:r>
          </w:p>
        </w:tc>
        <w:tc>
          <w:tcPr>
            <w:tcW w:w="840" w:type="dxa"/>
          </w:tcPr>
          <w:p w14:paraId="397090C7" w14:textId="4409066E" w:rsidR="00E74A8A" w:rsidRPr="00CF0C7D" w:rsidRDefault="00E74A8A" w:rsidP="00E74A8A">
            <w:r w:rsidRPr="00CF0C7D">
              <w:t>0,20</w:t>
            </w:r>
          </w:p>
        </w:tc>
      </w:tr>
      <w:tr w:rsidR="00E74A8A" w:rsidRPr="00CF0C7D" w14:paraId="6F881437" w14:textId="77777777" w:rsidTr="007A3644">
        <w:tc>
          <w:tcPr>
            <w:tcW w:w="2695" w:type="dxa"/>
            <w:tcBorders>
              <w:bottom w:val="single" w:sz="4" w:space="0" w:color="auto"/>
            </w:tcBorders>
          </w:tcPr>
          <w:p w14:paraId="71220929" w14:textId="77777777" w:rsidR="00E74A8A" w:rsidRPr="00CF0C7D" w:rsidRDefault="00E74A8A" w:rsidP="00E74A8A"/>
        </w:tc>
        <w:tc>
          <w:tcPr>
            <w:tcW w:w="4950" w:type="dxa"/>
            <w:tcBorders>
              <w:bottom w:val="single" w:sz="4" w:space="0" w:color="auto"/>
            </w:tcBorders>
          </w:tcPr>
          <w:p w14:paraId="41C665C0" w14:textId="4D66F08B" w:rsidR="00E74A8A" w:rsidRPr="00CF0C7D" w:rsidRDefault="00E74A8A" w:rsidP="00E74A8A">
            <w:r w:rsidRPr="00CF0C7D">
              <w:rPr>
                <w:lang w:eastAsia="en-US"/>
              </w:rPr>
              <w:t>Intellectuels</w:t>
            </w:r>
          </w:p>
        </w:tc>
        <w:tc>
          <w:tcPr>
            <w:tcW w:w="990" w:type="dxa"/>
            <w:tcBorders>
              <w:bottom w:val="single" w:sz="4" w:space="0" w:color="auto"/>
            </w:tcBorders>
          </w:tcPr>
          <w:p w14:paraId="733A5A54" w14:textId="3247FC50" w:rsidR="00E74A8A" w:rsidRPr="00CF0C7D" w:rsidRDefault="00E74A8A" w:rsidP="00E74A8A">
            <w:r w:rsidRPr="00CF0C7D">
              <w:t>-0,03</w:t>
            </w:r>
          </w:p>
        </w:tc>
        <w:tc>
          <w:tcPr>
            <w:tcW w:w="840" w:type="dxa"/>
            <w:tcBorders>
              <w:bottom w:val="single" w:sz="4" w:space="0" w:color="auto"/>
            </w:tcBorders>
          </w:tcPr>
          <w:p w14:paraId="20A831B8" w14:textId="0EA75232" w:rsidR="00E74A8A" w:rsidRPr="00CF0C7D" w:rsidRDefault="00E74A8A" w:rsidP="00E74A8A">
            <w:r w:rsidRPr="00CF0C7D">
              <w:t>0,62</w:t>
            </w:r>
          </w:p>
        </w:tc>
      </w:tr>
    </w:tbl>
    <w:p w14:paraId="53A43BD8" w14:textId="1517D47A" w:rsidR="00162C14" w:rsidRPr="00CF0C7D" w:rsidRDefault="000B7D66" w:rsidP="00162C14">
      <w:r w:rsidRPr="00CF0C7D">
        <w:t xml:space="preserve">*Significatif à </w:t>
      </w:r>
      <w:r w:rsidRPr="00CF0C7D">
        <w:rPr>
          <w:i/>
          <w:iCs/>
        </w:rPr>
        <w:t>p</w:t>
      </w:r>
      <w:r w:rsidRPr="00CF0C7D">
        <w:t xml:space="preserve"> &lt; 0,05; **significatif à </w:t>
      </w:r>
      <w:r w:rsidRPr="00CF0C7D">
        <w:rPr>
          <w:i/>
          <w:iCs/>
        </w:rPr>
        <w:t>p</w:t>
      </w:r>
      <w:r w:rsidRPr="00CF0C7D">
        <w:t xml:space="preserve"> &lt; 0,01; ***significatif à </w:t>
      </w:r>
      <w:r w:rsidRPr="00CF0C7D">
        <w:rPr>
          <w:i/>
          <w:iCs/>
        </w:rPr>
        <w:t>p</w:t>
      </w:r>
      <w:r w:rsidRPr="00CF0C7D">
        <w:t xml:space="preserve"> &lt; 0,001</w:t>
      </w:r>
    </w:p>
    <w:p w14:paraId="6C714D96" w14:textId="77777777" w:rsidR="00FC295B" w:rsidRPr="00CF0C7D" w:rsidRDefault="00FC295B" w:rsidP="006367D1"/>
    <w:p w14:paraId="776B7733" w14:textId="77777777" w:rsidR="00FC295B" w:rsidRPr="00CF0C7D" w:rsidRDefault="00FC295B" w:rsidP="006367D1"/>
    <w:p w14:paraId="0E0ED644" w14:textId="10EBC0CB" w:rsidR="00162C14" w:rsidRPr="00CF0C7D" w:rsidRDefault="00852EB9" w:rsidP="006367D1">
      <w:r w:rsidRPr="00CF0C7D">
        <w:t>Aucun facteur lié au handicap n’a été corrélé aux attentes salariales. En revanche, plusieurs facteurs sociodémographiques ont présenté une corrélation significative. On a observé une corrélation négative faible mais significative entre le salaire et le fait de s’identifier comme membre de la communauté 2SLGBTQ+, ainsi qu’avec le fait de s’identifier comme femme, personne non binaire ou</w:t>
      </w:r>
      <w:r w:rsidR="006F2E7D">
        <w:t xml:space="preserve"> de genre divers</w:t>
      </w:r>
      <w:r w:rsidRPr="00CF0C7D">
        <w:t xml:space="preserve">. De plus, une corrélation positive faible mais significative a été observée entre les attentes salariales et le statut d’étudiant international. En d’autres termes, les femmes, les personnes de genre non binaire et les membres de la communauté 2SLGBTQ+ avaient tendance à avoir des attentes salariales plus faibles, tandis que les étudiants </w:t>
      </w:r>
      <w:r w:rsidR="006F2E7D" w:rsidRPr="006F2E7D">
        <w:t>international</w:t>
      </w:r>
      <w:r w:rsidRPr="00CF0C7D">
        <w:t xml:space="preserve"> avaient tendance à avoir des attentes salariales plus élevées.</w:t>
      </w:r>
    </w:p>
    <w:p w14:paraId="776DC7C1" w14:textId="6A1A8B97" w:rsidR="00A2745A" w:rsidRPr="00CF0C7D" w:rsidRDefault="00852EB9" w:rsidP="00A2745A">
      <w:pPr>
        <w:pStyle w:val="Heading3"/>
      </w:pPr>
      <w:r w:rsidRPr="00CF0C7D">
        <w:t>Résultats en matière d’emploi</w:t>
      </w:r>
    </w:p>
    <w:p w14:paraId="2E718E0E" w14:textId="4B24F00A" w:rsidR="00A2745A" w:rsidRPr="00CF0C7D" w:rsidRDefault="00852EB9" w:rsidP="00A2745A">
      <w:r w:rsidRPr="00CF0C7D">
        <w:t>La plupart des participants (35; 83,33 %) avaient obtenu leur diplôme au moment du suivi. Parmi ceux qui avaient obtenu leur diplôme, 21 (60 %) avaient trouvé un emploi. Parmi ceux qui avaient obtenu leur diplôme mais qui n’étaient pas employés, 12 (85,71 %) cherchaient activement du travail. Environ la moitié des participants ayant trouvé un emploi (11; 52,38 %) l’ont trouvé en moins d’un mois après l’obtention de leur diplôme. Pour trois participants (14,29 %), la recherche d’emploi a duré plus de 6 mois.</w:t>
      </w:r>
    </w:p>
    <w:p w14:paraId="5A2BF19E" w14:textId="2E88C727" w:rsidR="004B4AEE" w:rsidRPr="00CF0C7D" w:rsidRDefault="00852EB9" w:rsidP="00A2745A">
      <w:pPr>
        <w:rPr>
          <w:lang w:eastAsia="en-US"/>
        </w:rPr>
      </w:pPr>
      <w:r w:rsidRPr="00CF0C7D">
        <w:rPr>
          <w:lang w:eastAsia="en-US"/>
        </w:rPr>
        <w:t>Figure 3. Durée réelle de la recherche d’emploi</w:t>
      </w:r>
    </w:p>
    <w:p w14:paraId="23D1170F" w14:textId="5053D061" w:rsidR="00271E14" w:rsidRPr="00CF0C7D" w:rsidRDefault="00271E14" w:rsidP="00271E14">
      <w:pPr>
        <w:jc w:val="center"/>
        <w:rPr>
          <w:highlight w:val="yellow"/>
          <w:lang w:eastAsia="en-US"/>
        </w:rPr>
      </w:pPr>
      <w:r w:rsidRPr="00CF0C7D">
        <w:rPr>
          <w:noProof/>
          <w:lang w:eastAsia="en-US"/>
        </w:rPr>
        <w:drawing>
          <wp:inline distT="0" distB="0" distL="0" distR="0" wp14:anchorId="3A6DE943" wp14:editId="0E68D76F">
            <wp:extent cx="5316279" cy="2732568"/>
            <wp:effectExtent l="0" t="0" r="17780" b="10795"/>
            <wp:docPr id="1290644183" name="Chart 2" descr="Figure 3. Durée réelle de la recherche d’emploi. Diagramme à barres illustrant la durée réelle de la recherche d’emploi chez les participants au suivi qui occupaient un emploi. Environ la moitié des participants ayant trouvé un emploi l’ont trouvé en moins d’un mois (11, soit 52,38 %). Pour trois participants (14,29 %), la recherche d’emploi a duré plus de six mois. Cette figure ne prend en compte que les participants ayant trouvé un emploi."/>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6B7E65" w14:textId="3FC8A96F" w:rsidR="004B4AEE" w:rsidRPr="00CF0C7D" w:rsidRDefault="006261F2" w:rsidP="00667A26">
      <w:pPr>
        <w:jc w:val="center"/>
        <w:rPr>
          <w:i/>
          <w:iCs/>
        </w:rPr>
      </w:pPr>
      <w:r w:rsidRPr="00CF0C7D">
        <w:rPr>
          <w:i/>
          <w:iCs/>
        </w:rPr>
        <w:t>Remarque : Ne comprend que les participants ayant trouvé un emploi</w:t>
      </w:r>
    </w:p>
    <w:p w14:paraId="6DA15032" w14:textId="32EAFB3E" w:rsidR="00A2745A" w:rsidRPr="00CF0C7D" w:rsidRDefault="006261F2" w:rsidP="00A2745A">
      <w:r w:rsidRPr="00CF0C7D">
        <w:t>En raison de la petite taille de l’échantillon de suivi, certaines variables ont dû être regroupées afin de créer des groupes plus importants pour l’analyse inférentielle. Les types de handicap ont été regroupés comme suit : les handicaps moteurs/de dextérité et de mobilité/d’agilité ont été combinés sous la catégorie « handicaps physiques »; les handicaps sensoriels et de communication ont été combinés sous la catégorie « handicaps sensoriels et de communication »; et les handicaps intellectuels et de développement ont été combinés sous la catégorie « handicaps intellectuels et de développement ».</w:t>
      </w:r>
    </w:p>
    <w:p w14:paraId="641EB993" w14:textId="6D1D338D" w:rsidR="00A2745A" w:rsidRPr="00CF0C7D" w:rsidRDefault="006261F2" w:rsidP="00A2745A">
      <w:r w:rsidRPr="00CF0C7D">
        <w:t xml:space="preserve">Des tests du chi carré ont été effectués afin de déterminer si les résultats en matière d’emploi variaient en fonction des caractéristiques sociodémographiques ou liées au handicap. Le test du chi carré est un test inférentiel non paramétrique utilisé avec des données catégorielles pour </w:t>
      </w:r>
      <w:r w:rsidRPr="00CF0C7D">
        <w:lastRenderedPageBreak/>
        <w:t>déterminer s’il existe une différence significative entre le nombre statistiquement attendu (basé sur le hasard) de participants appartenant à un groupe donné (p. ex., obtenant un certain résultat en matière d’emploi) et ce qui est réellement observé dans les données. Des coefficients de corrélation de Spearman ont été calculés afin d’explorer les liens entre les résultats attendus et réels (durée de la recherche d’emploi et attentes salariales), ainsi qu’entre la durée réelle de la recherche d’emploi et les salaires obtenus, d’une part, et les facteurs sociodémographiques et les caractéristiques liées au handicap, d’autre part.</w:t>
      </w:r>
    </w:p>
    <w:p w14:paraId="09C21978" w14:textId="53903056" w:rsidR="00A2745A" w:rsidRPr="00CF0C7D" w:rsidRDefault="006261F2" w:rsidP="00A2745A">
      <w:r w:rsidRPr="00CF0C7D">
        <w:t xml:space="preserve">Ni les caractéristiques sociodémographiques ni celles liées au handicap ne se sont révélées des prédicteurs significatifs des résultats en matière d’emploi, bien que le </w:t>
      </w:r>
      <w:r w:rsidR="006F2E7D">
        <w:t>genre</w:t>
      </w:r>
      <w:r w:rsidRPr="00CF0C7D">
        <w:t xml:space="preserve"> et l’appartenance à une minorité visible aient frôlé le seuil de signification, un plus grand nombre de femmes et de participants non binaires ayant trouvé un emploi par rapport aux hommes. Plus précisément, 18 (72,0 %) des </w:t>
      </w:r>
      <w:r w:rsidR="006F2E7D" w:rsidRPr="006F2E7D">
        <w:t>femmes et personnes diplômées non binaires</w:t>
      </w:r>
      <w:r w:rsidR="006F2E7D">
        <w:t xml:space="preserve"> </w:t>
      </w:r>
      <w:r w:rsidRPr="00CF0C7D">
        <w:t xml:space="preserve">occupaient un emploi, tandis que seulement 3 (33,3 %) des hommes occupaient un emploi, X² = 2,71, p = 0,10; et 17 (70,8 %) des participants blancs avaient un emploi, tandis que seulement 4 (36,4 %) des participants appartenant à une minorité visible avaient un emploi, X² = 2,43, </w:t>
      </w:r>
      <w:r w:rsidRPr="00CF0C7D">
        <w:rPr>
          <w:i/>
          <w:iCs/>
        </w:rPr>
        <w:t>p</w:t>
      </w:r>
      <w:r w:rsidRPr="00CF0C7D">
        <w:t xml:space="preserve"> = 0,12. En d’autres termes, les femmes et les diplômés blancs </w:t>
      </w:r>
      <w:r w:rsidR="0045247B">
        <w:t>en situation de handicap</w:t>
      </w:r>
      <w:r w:rsidRPr="00CF0C7D">
        <w:t xml:space="preserve"> semblaient plus susceptibles de trouver du travail au moment du suivi; toutefois, la petite taille de l’échantillon rend difficile l’établissement de conclusions.</w:t>
      </w:r>
    </w:p>
    <w:p w14:paraId="10891835" w14:textId="3B90A5CC" w:rsidR="00FB54B1" w:rsidRPr="00CF0C7D" w:rsidRDefault="006261F2" w:rsidP="00FB54B1">
      <w:pPr>
        <w:rPr>
          <w:color w:val="000000" w:themeColor="text1"/>
        </w:rPr>
      </w:pPr>
      <w:r w:rsidRPr="00CF0C7D">
        <w:rPr>
          <w:color w:val="000000" w:themeColor="text1"/>
        </w:rPr>
        <w:t xml:space="preserve">Il existait une corrélation modérée et significative entre la durée prévue de la recherche d’emploi et la durée réelle de celle-ci (ρ = 0,45, </w:t>
      </w:r>
      <w:r w:rsidRPr="00CF0C7D">
        <w:rPr>
          <w:i/>
          <w:iCs/>
          <w:color w:val="000000" w:themeColor="text1"/>
        </w:rPr>
        <w:t>p</w:t>
      </w:r>
      <w:r w:rsidRPr="00CF0C7D">
        <w:rPr>
          <w:color w:val="000000" w:themeColor="text1"/>
        </w:rPr>
        <w:t xml:space="preserve"> = 0,04), ainsi qu’une corrélation modérée et significative entre le salaire souhaité et le salaire obtenu (ρ = 0,47, </w:t>
      </w:r>
      <w:r w:rsidRPr="00CF0C7D">
        <w:rPr>
          <w:i/>
          <w:iCs/>
          <w:color w:val="000000" w:themeColor="text1"/>
        </w:rPr>
        <w:t>p</w:t>
      </w:r>
      <w:r w:rsidRPr="00CF0C7D">
        <w:rPr>
          <w:color w:val="000000" w:themeColor="text1"/>
        </w:rPr>
        <w:t xml:space="preserve"> = 0,04)</w:t>
      </w:r>
      <w:r w:rsidR="00FB54B1" w:rsidRPr="00CF0C7D">
        <w:rPr>
          <w:color w:val="000000" w:themeColor="text1"/>
        </w:rPr>
        <w:t>.</w:t>
      </w:r>
    </w:p>
    <w:p w14:paraId="655A716A" w14:textId="081EFF76" w:rsidR="00710712" w:rsidRPr="00CF0C7D" w:rsidRDefault="006261F2" w:rsidP="00A2745A">
      <w:pPr>
        <w:rPr>
          <w:color w:val="000000" w:themeColor="text1"/>
        </w:rPr>
      </w:pPr>
      <w:r w:rsidRPr="00CF0C7D">
        <w:t>Seuls 15 diplômés (42,86 %) ont estimé que leur recherche d’emploi correspondait à leurs attentes ou les dépassait. Trois participants avaient correctement estimé la durée de leur recherche d’emploi, et pour 12 participants, celle-ci a été plus courte que prévu. À l’inverse, pour 20 diplômés (57,14 %), la recherche d’emploi a duré plus longtemps que prévu (y compris les 14 participants qui avaient obtenu leur diplôme mais qui étaient toujours à la recherche d’un emploi au moment du suivi). De plus, parmi les participants qui avaient obtenu leur diplôme mais qui étaient toujours à la recherche d’un emploi, la durée moyenne de leur recherche d’emploi à ce jour était d’environ 1,2 an. De même, plus de la moitié (11; 52,38 %) des diplômés occupant un emploi percevaient un salaire qui ne répondait pas à leurs attentes. Seuls six diplômés (28,57 %) gagnaient plus que ce à quoi ils s’attendaient. Plus d’un tiers des participants ayant un emploi (8; 38,10 %) ont déclaré gagner 29 999 $ ou moins</w:t>
      </w:r>
      <w:r w:rsidR="00FB54B1" w:rsidRPr="00CF0C7D">
        <w:rPr>
          <w:color w:val="000000" w:themeColor="text1"/>
        </w:rPr>
        <w:t>.</w:t>
      </w:r>
    </w:p>
    <w:p w14:paraId="023FA70C" w14:textId="6C46F72C" w:rsidR="005376DB" w:rsidRPr="0045247B" w:rsidRDefault="001F54CB" w:rsidP="006367D1">
      <w:pPr>
        <w:rPr>
          <w:color w:val="000000" w:themeColor="text1"/>
        </w:rPr>
      </w:pPr>
      <w:r w:rsidRPr="00CF0C7D">
        <w:rPr>
          <w:color w:val="000000" w:themeColor="text1"/>
        </w:rPr>
        <w:t xml:space="preserve">La durée de la recherche d’emploi n’était pas significativement liée aux facteurs sociodémographiques ni aux caractéristiques du handicap, à une exception près : le nombre de handicaps. Le nombre de handicaps concomitants signalés par les participants présentait une corrélation forte et significative avec la durée de la recherche d’emploi (ρ = 0,77, </w:t>
      </w:r>
      <w:r w:rsidRPr="00CF0C7D">
        <w:rPr>
          <w:i/>
          <w:iCs/>
          <w:color w:val="000000" w:themeColor="text1"/>
        </w:rPr>
        <w:t>p</w:t>
      </w:r>
      <w:r w:rsidRPr="00CF0C7D">
        <w:rPr>
          <w:color w:val="000000" w:themeColor="text1"/>
        </w:rPr>
        <w:t xml:space="preserve"> = 0,04). Autrement dit, les nouveaux diplômés présentant des handicaps multiples mettaient plus de temps à trouver un emploi. Le fait de présenter un handicap intellectuel ou un </w:t>
      </w:r>
      <w:r w:rsidR="0045247B">
        <w:rPr>
          <w:color w:val="000000" w:themeColor="text1"/>
        </w:rPr>
        <w:t>handicap</w:t>
      </w:r>
      <w:r w:rsidRPr="00CF0C7D">
        <w:rPr>
          <w:color w:val="000000" w:themeColor="text1"/>
        </w:rPr>
        <w:t xml:space="preserve"> </w:t>
      </w:r>
      <w:r w:rsidR="0045247B" w:rsidRPr="0045247B">
        <w:rPr>
          <w:color w:val="000000" w:themeColor="text1"/>
        </w:rPr>
        <w:t xml:space="preserve">développemental </w:t>
      </w:r>
      <w:r w:rsidRPr="00CF0C7D">
        <w:rPr>
          <w:color w:val="000000" w:themeColor="text1"/>
        </w:rPr>
        <w:t xml:space="preserve">était modérément corrélé à une recherche d’emploi plus longue, mais cet effet n’était pas statistiquement significatif (ρ = 0,36, </w:t>
      </w:r>
      <w:r w:rsidRPr="00CF0C7D">
        <w:rPr>
          <w:i/>
          <w:iCs/>
          <w:color w:val="000000" w:themeColor="text1"/>
        </w:rPr>
        <w:t>p</w:t>
      </w:r>
      <w:r w:rsidRPr="00CF0C7D">
        <w:rPr>
          <w:color w:val="000000" w:themeColor="text1"/>
        </w:rPr>
        <w:t xml:space="preserve"> = 0,11)</w:t>
      </w:r>
      <w:r w:rsidR="00390EB3" w:rsidRPr="00CF0C7D">
        <w:t>.</w:t>
      </w:r>
    </w:p>
    <w:p w14:paraId="673315E6" w14:textId="008A013F" w:rsidR="006367D1" w:rsidRPr="00CF0C7D" w:rsidRDefault="001F54CB" w:rsidP="00E537FF">
      <w:pPr>
        <w:pStyle w:val="Heading2"/>
      </w:pPr>
      <w:bookmarkStart w:id="18" w:name="_Toc233210512"/>
      <w:r w:rsidRPr="00CF0C7D">
        <w:t>Qualité de l’emploi et satisfaction</w:t>
      </w:r>
      <w:bookmarkEnd w:id="18"/>
    </w:p>
    <w:p w14:paraId="56D5971F" w14:textId="6B01A11B" w:rsidR="005376DB" w:rsidRPr="00CF0C7D" w:rsidRDefault="001F54CB" w:rsidP="005376DB">
      <w:r w:rsidRPr="00CF0C7D">
        <w:t>Afin de répondre aux questions de recherche 2 et 2a concernant la qualité de l’emploi et la satisfaction, ainsi que les variations potentielles selon des critères sociodémographiques, nous avons calculé des statistiques descriptives et inférentielles à partir des données de l’enquête de suivi.</w:t>
      </w:r>
    </w:p>
    <w:p w14:paraId="264C2016" w14:textId="017CD4F1" w:rsidR="005376DB" w:rsidRPr="00CF0C7D" w:rsidRDefault="001F54CB" w:rsidP="005376DB">
      <w:r w:rsidRPr="00CF0C7D">
        <w:lastRenderedPageBreak/>
        <w:t>Seul un tiers des participants ayant un emploi dans l’échantillon de suivi occupaient un poste permanent à temps plein; les autres occupaient des postes à temps partiel et/ou des emplois contractuels. Le faible nombre de participants n’a pas permis de calculer des statistiques inférentielles significatives relatives au type d’emploi (c’est-à-dire emploi à temps plein par rapport à temps partiel, et emploi permanent par rapport à un emploi contractuel).</w:t>
      </w:r>
      <w:r w:rsidR="005376DB" w:rsidRPr="00CF0C7D">
        <w:t xml:space="preserve">  </w:t>
      </w:r>
    </w:p>
    <w:p w14:paraId="2D592F38" w14:textId="6180898B" w:rsidR="005376DB" w:rsidRPr="00CF0C7D" w:rsidRDefault="001F54CB" w:rsidP="005376DB">
      <w:r w:rsidRPr="00CF0C7D">
        <w:t>Les participants ayant un emploi étaient globalement satisfaits de leur travail, lui attribuant une note moyenne de 3,57 (sur 5). Ils étaient également généralement satisfaits de l’accessibilité de leur emploi (M = 3,67).</w:t>
      </w:r>
    </w:p>
    <w:p w14:paraId="69B634ED" w14:textId="44C6455A" w:rsidR="00710712" w:rsidRPr="00CF0C7D" w:rsidRDefault="0025297E" w:rsidP="006367D1">
      <w:r w:rsidRPr="00CF0C7D">
        <w:t xml:space="preserve">Des tests U de Mann-Whitney ont été effectués afin de déterminer si les cotes de satisfaction au travail et d’accessibilité différaient en fonction des variables prédictives. Le test U de Mann-Whitney est un test inférentiel non paramétrique utilisé pour vérifier s’il existe une différence significative entre les moyennes de deux échantillons indépendants; il s’agit d’un test plus robuste lorsque les échantillons sont de petite taille ou asymétriques. Dans l’ensemble, ni les caractéristiques sociodémographiques ni celles liées au handicap n’étaient significativement associées aux cotes de satisfaction au travail. Les participants présentant un handicap sensoriel ou de communication ont attribué en moyenne des cotes de satisfaction au travail plus faibles; toutefois, seuls deux participants </w:t>
      </w:r>
      <w:r w:rsidR="0045247B">
        <w:t>en situation de handicap</w:t>
      </w:r>
      <w:r w:rsidRPr="00CF0C7D">
        <w:t xml:space="preserve"> sensoriel ou de communication occupaient un emploi, et le test U de Mann-Whitney n’a pas révélé de différence significative (</w:t>
      </w:r>
      <w:r w:rsidRPr="00CF0C7D">
        <w:rPr>
          <w:i/>
          <w:iCs/>
        </w:rPr>
        <w:t>p</w:t>
      </w:r>
      <w:r w:rsidRPr="00CF0C7D">
        <w:t xml:space="preserve"> = 0,11).</w:t>
      </w:r>
    </w:p>
    <w:p w14:paraId="2151457D" w14:textId="15B6D31C" w:rsidR="00E411EB" w:rsidRPr="00CF0C7D" w:rsidRDefault="0025297E" w:rsidP="006367D1">
      <w:r w:rsidRPr="00CF0C7D">
        <w:t xml:space="preserve">La durée de la recherche d’emploi présentait une corrélation modérée et négative avec la satisfaction au travail, bien que cette corrélation n’ait pas atteint le seuil de signification (ρ = -0,34, </w:t>
      </w:r>
      <w:r w:rsidRPr="00CF0C7D">
        <w:rPr>
          <w:i/>
          <w:iCs/>
        </w:rPr>
        <w:t>p</w:t>
      </w:r>
      <w:r w:rsidRPr="00CF0C7D">
        <w:t xml:space="preserve"> = 0,13). Il est intéressant de noter qu’il n’y avait aucune corrélation entre la satisfaction au travail et le salaire (ρ = -0,01, </w:t>
      </w:r>
      <w:r w:rsidRPr="00CF0C7D">
        <w:rPr>
          <w:i/>
          <w:iCs/>
        </w:rPr>
        <w:t>p</w:t>
      </w:r>
      <w:r w:rsidRPr="00CF0C7D">
        <w:t xml:space="preserve"> = 0,96). L’accessibilité et la satisfaction présentaient toutefois une corrélation modeste (bien que non significative); les participants qui jugeaient leur milieu de travail plus accessible étaient plus satisfaits de leur emploi, ρ = 0,32, </w:t>
      </w:r>
      <w:r w:rsidRPr="00CF0C7D">
        <w:rPr>
          <w:i/>
          <w:iCs/>
        </w:rPr>
        <w:t>p</w:t>
      </w:r>
      <w:r w:rsidRPr="00CF0C7D">
        <w:t xml:space="preserve"> = 0,15.</w:t>
      </w:r>
    </w:p>
    <w:p w14:paraId="38DC2743" w14:textId="1880A067" w:rsidR="006367D1" w:rsidRPr="00CF0C7D" w:rsidRDefault="0025297E" w:rsidP="00E537FF">
      <w:pPr>
        <w:pStyle w:val="Heading2"/>
      </w:pPr>
      <w:bookmarkStart w:id="19" w:name="_Toc233210513"/>
      <w:r w:rsidRPr="00CF0C7D">
        <w:t>Obstacles (et facteurs favorables) à l’emploi</w:t>
      </w:r>
      <w:bookmarkEnd w:id="19"/>
    </w:p>
    <w:p w14:paraId="716D0732" w14:textId="0EAAED2D" w:rsidR="0030610B" w:rsidRPr="00CF0C7D" w:rsidRDefault="008A0288" w:rsidP="006367D1">
      <w:r w:rsidRPr="00CF0C7D">
        <w:t>Afin de répondre aux questions de recherche 3 et 3a concernant les obstacles à la transition de l’enseignement postsecondaire au marché du travail, et de déterminer si les obstacles rencontrés varient en fonction des variables sociodémographiques et liées au handicap, nous avons calculé des statistiques descriptives et inférentielles à partir des données de l’enquête de suivi. De plus, les obstacles à l’emploi et les considérations intersectionnelles ont été explorés dans les groupes de discussion.</w:t>
      </w:r>
    </w:p>
    <w:p w14:paraId="6E6BBD4B" w14:textId="746333A8" w:rsidR="0030610B" w:rsidRPr="00CF0C7D" w:rsidRDefault="008A0288" w:rsidP="006367D1">
      <w:r w:rsidRPr="00CF0C7D">
        <w:t>Le graphique ci-dessous présente le nombre de participants à l’enquête de suivi ayant déclaré avoir rencontré chaque obstacle. L’obstacle le plus fréquemment signalé par les participants était que les offres d’emploi exigeaient plus d’expérience qu’ils n’en possédaient, plus du tiers (12; 34,29 %) des diplômés affirmant qu’il s’agissait d’un obstacle à la recherche d’emploi. Au-delà des obstacles énumérés dans les options de réponse, les participants ont indiqué que la discrimination algorithmique et liée à l’IA, ainsi que le manque de reconnaissance de l’expérience professionnelle acquise à l’étranger, constituaient des obstacles dans leur recherche d’emploi.</w:t>
      </w:r>
    </w:p>
    <w:p w14:paraId="61C209C5" w14:textId="77777777" w:rsidR="004C53EA" w:rsidRPr="00CF0C7D" w:rsidRDefault="004C53EA" w:rsidP="006367D1"/>
    <w:p w14:paraId="7F3F5CEE" w14:textId="77777777" w:rsidR="004C53EA" w:rsidRPr="00CF0C7D" w:rsidRDefault="004C53EA" w:rsidP="006367D1"/>
    <w:p w14:paraId="06AA614E" w14:textId="77777777" w:rsidR="004C53EA" w:rsidRPr="00CF0C7D" w:rsidRDefault="004C53EA" w:rsidP="006367D1"/>
    <w:p w14:paraId="75BE4180" w14:textId="77777777" w:rsidR="004C53EA" w:rsidRPr="00CF0C7D" w:rsidRDefault="004C53EA" w:rsidP="006367D1"/>
    <w:p w14:paraId="2E747581" w14:textId="354524C6" w:rsidR="009A6FE0" w:rsidRPr="00CF0C7D" w:rsidRDefault="009A6FE0" w:rsidP="006367D1">
      <w:r w:rsidRPr="00CF0C7D">
        <w:lastRenderedPageBreak/>
        <w:t>Figure 4.</w:t>
      </w:r>
      <w:r w:rsidR="008A0288" w:rsidRPr="00CF0C7D">
        <w:t xml:space="preserve"> Obstacles rencontrés par les nouveaux diplômés </w:t>
      </w:r>
      <w:r w:rsidR="0045247B">
        <w:t>en situation de handicap</w:t>
      </w:r>
      <w:r w:rsidR="008A0288" w:rsidRPr="00CF0C7D">
        <w:t xml:space="preserve"> dans leur recherche d’emploi</w:t>
      </w:r>
    </w:p>
    <w:p w14:paraId="59779BA1" w14:textId="44C9DD50" w:rsidR="00FF200B" w:rsidRPr="00CF0C7D" w:rsidRDefault="00C050FD" w:rsidP="00C050FD">
      <w:pPr>
        <w:jc w:val="center"/>
      </w:pPr>
      <w:r w:rsidRPr="00CF0C7D">
        <w:rPr>
          <w:noProof/>
        </w:rPr>
        <w:drawing>
          <wp:inline distT="0" distB="0" distL="0" distR="0" wp14:anchorId="0F3C229A" wp14:editId="239C9AED">
            <wp:extent cx="5999480" cy="2869810"/>
            <wp:effectExtent l="0" t="0" r="1270" b="6985"/>
            <wp:docPr id="926663677" name="Chart 3" descr="Figure 4. Obstacles rencontrés par les nouveaux diplômés en situation de handicap dans leur recherche d’emploi. Diagramme à barres illustrant les obstacles rencontrés par les nouveaux diplômés en situation de handicap dans leur recherche d’emploi. L’obstacle le plus courant était que les offres d’emploi exigeaient plus d’expérience que n’en possédaient les participants (12, 34,29 %). Parmi les autres obstacles fréquemment mentionnés, on retrouve le manque d’emplois disponibles, l’absence des compétences requises et la discrimination de la part des employeurs. Les participants ont également identifié d’autres obstacles qui ne figuraient pas parmi les options de réponse, notamment la discrimination algorithmique et liée à l’IA, ainsi que le manque de reconnaissance de l’expérience professionnelle acquise à l’étrang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5B88F9" w14:textId="77777777" w:rsidR="004C53EA" w:rsidRPr="00CF0C7D" w:rsidRDefault="004C53EA" w:rsidP="002354CA"/>
    <w:p w14:paraId="2C4D8C02" w14:textId="1EE3B9CC" w:rsidR="002354CA" w:rsidRPr="00CF0C7D" w:rsidRDefault="00854664" w:rsidP="002354CA">
      <w:r w:rsidRPr="00CF0C7D">
        <w:t xml:space="preserve">Des tests du chi carré ont été effectués pour les obstacles les plus courants – manque d’expérience, manque d’emplois disponibles, manque de compétences requises et discrimination de la part des employeurs –, mais dans la plupart des cas, la petite taille des cellules a rendu les estimations peu fiables. Toutefois, les diplômés appartenant à un groupe de minorité visible étaient significativement plus susceptibles de signaler que le manque d’expérience pertinente constituait un obstacle, X² = 4,38, </w:t>
      </w:r>
      <w:r w:rsidRPr="00CF0C7D">
        <w:rPr>
          <w:i/>
          <w:iCs/>
        </w:rPr>
        <w:t>p</w:t>
      </w:r>
      <w:r w:rsidRPr="00CF0C7D">
        <w:t xml:space="preserve"> = 0,04 : 7 (63,6 %) des diplômés issus de minorités visibles ont mentionné cet obstacle, contre seulement 20,8 % (5) des participants blancs.</w:t>
      </w:r>
    </w:p>
    <w:p w14:paraId="50033B24" w14:textId="5965D5BC" w:rsidR="00ED5B89" w:rsidRPr="00CF0C7D" w:rsidRDefault="00854664" w:rsidP="00D41254">
      <w:pPr>
        <w:rPr>
          <w:rFonts w:eastAsia="Arial" w:cs="Arial"/>
        </w:rPr>
      </w:pPr>
      <w:r w:rsidRPr="00CF0C7D">
        <w:rPr>
          <w:rFonts w:eastAsia="Arial" w:cs="Arial"/>
        </w:rPr>
        <w:t>D’après les données des groupes de discussion, de nombreux participants ont décrit se sentir submergés, stressés, anxieux, inquiets et/ou nerveux face à la transition de l’école au marché du travail, tandis que d’autres se sentaient enthousiastes ou heureux d’avoir terminé leurs études. Les participants qui se sentaient préoccupés par cette transition le ressentaient principalement parce qu’ils se sentaient mal préparés pour les prochaines étapes. Quelques participants estimaient qu’ils ne disposaient pas des connaissances ou des compétences dont ils auraient besoin pour cette transition. Les participants se sentaient également mal préparés à relever la prochaine série de défis, comme déménager dans une nouvelle ville pour poursuivre des études supérieures ou chercher un emploi.</w:t>
      </w:r>
    </w:p>
    <w:p w14:paraId="6305608C" w14:textId="57AAE513" w:rsidR="00ED5B89" w:rsidRPr="00CF0C7D" w:rsidRDefault="001C58CC" w:rsidP="00ED5B89">
      <w:pPr>
        <w:rPr>
          <w:rFonts w:eastAsia="Arial" w:cs="Arial"/>
        </w:rPr>
      </w:pPr>
      <w:r w:rsidRPr="00CF0C7D">
        <w:rPr>
          <w:rFonts w:eastAsia="Arial" w:cs="Arial"/>
        </w:rPr>
        <w:t>Quelques participants ont confié que le plaisir et la liberté qu’ils avaient trouvés dans la vie étudiante leur manqueraient. Les participants qui attendaient avec impatience la transition vers le marché du travail ont indiqué qu’ils étaient optimistes quant à l’avenir, qu’ils étaient heureux d’en avoir fini avec les études (ce que certains avaient trouvé difficile) ou qu’ils se sentaient prêts pour les prochaines étapes.</w:t>
      </w:r>
    </w:p>
    <w:p w14:paraId="46D2DDB9" w14:textId="77777777" w:rsidR="00DF2CEC" w:rsidRPr="00CF0C7D" w:rsidRDefault="00DF2CEC" w:rsidP="00DF2CEC">
      <w:pPr>
        <w:rPr>
          <w:rFonts w:eastAsia="Arial" w:cs="Arial"/>
        </w:rPr>
      </w:pPr>
      <w:r w:rsidRPr="00CF0C7D">
        <w:rPr>
          <w:rFonts w:eastAsia="Arial" w:cs="Arial"/>
        </w:rPr>
        <w:t>Les participants aux groupes de discussion ont décrit de nombreux obstacles anticipés à l’obtention d’un emploi une fois leurs études terminées, notamment :</w:t>
      </w:r>
    </w:p>
    <w:p w14:paraId="2290D36E" w14:textId="050A3D2E" w:rsidR="00DF2CEC" w:rsidRPr="00CF0C7D" w:rsidRDefault="00DF2CEC">
      <w:pPr>
        <w:pStyle w:val="ListParagraph"/>
        <w:numPr>
          <w:ilvl w:val="0"/>
          <w:numId w:val="14"/>
        </w:numPr>
        <w:rPr>
          <w:rFonts w:eastAsia="Arial" w:cs="Arial"/>
          <w:lang w:val="fr-CA"/>
        </w:rPr>
      </w:pPr>
      <w:r w:rsidRPr="00CF0C7D">
        <w:rPr>
          <w:rFonts w:eastAsia="Arial" w:cs="Arial"/>
          <w:lang w:val="fr-CA"/>
        </w:rPr>
        <w:t xml:space="preserve">La difficulté à trouver un emploi dans leur domaine (p. ex., que cela prendra beaucoup de temps, qu’il y a peu d’emplois pertinents dans leur communauté, qu’ils devront créer leur </w:t>
      </w:r>
      <w:r w:rsidRPr="00CF0C7D">
        <w:rPr>
          <w:rFonts w:eastAsia="Arial" w:cs="Arial"/>
          <w:lang w:val="fr-CA"/>
        </w:rPr>
        <w:lastRenderedPageBreak/>
        <w:t>propre poste ou leur propre entreprise, qu’il n’y a pas suffisamment d’occasions pour les nouveaux arrivants au Canada)</w:t>
      </w:r>
    </w:p>
    <w:p w14:paraId="290BF8E8" w14:textId="7B0B8C17" w:rsidR="00DF2CEC" w:rsidRPr="00CF0C7D" w:rsidRDefault="00DF2CEC">
      <w:pPr>
        <w:pStyle w:val="ListParagraph"/>
        <w:numPr>
          <w:ilvl w:val="0"/>
          <w:numId w:val="14"/>
        </w:numPr>
        <w:rPr>
          <w:rFonts w:eastAsia="Arial" w:cs="Arial"/>
          <w:lang w:val="fr-CA"/>
        </w:rPr>
      </w:pPr>
      <w:r w:rsidRPr="00CF0C7D">
        <w:rPr>
          <w:rFonts w:eastAsia="Arial" w:cs="Arial"/>
          <w:lang w:val="fr-CA"/>
        </w:rPr>
        <w:t>La discrimination de la part des employeurs (p. ex. le refus d’embaucher des personnes en situation de handicap, le manque d’employeurs inclusifs, l’embauche symbolique, le refus d’embaucher des personnes ayant prolongé leurs études, le manque de communication quant à l’ouverture à l’embauche de personnes en situation de handicap)</w:t>
      </w:r>
    </w:p>
    <w:p w14:paraId="4B589CDE" w14:textId="74730173" w:rsidR="00DF2CEC" w:rsidRPr="00CF0C7D" w:rsidRDefault="00DF2CEC">
      <w:pPr>
        <w:pStyle w:val="ListParagraph"/>
        <w:numPr>
          <w:ilvl w:val="0"/>
          <w:numId w:val="14"/>
        </w:numPr>
        <w:rPr>
          <w:rFonts w:eastAsia="Arial" w:cs="Arial"/>
          <w:lang w:val="fr-CA"/>
        </w:rPr>
      </w:pPr>
      <w:r w:rsidRPr="00CF0C7D">
        <w:rPr>
          <w:rFonts w:eastAsia="Arial" w:cs="Arial"/>
          <w:lang w:val="fr-CA"/>
        </w:rPr>
        <w:t>Les obstacles liés aux entrevues (p. ex. manque de confiance en soi, manque d’expérience en matière d’entrevues, incapacité à répondre aux attentes lors de l’entrevue, sentiment d’être jugé pendant l’entrevue, incapacité à faire une bonne première impression, difficulté à s’exprimer et à sourire)</w:t>
      </w:r>
    </w:p>
    <w:p w14:paraId="2186E085" w14:textId="4FA12771" w:rsidR="00DF2CEC" w:rsidRPr="00CF0C7D" w:rsidRDefault="00DF2CEC">
      <w:pPr>
        <w:pStyle w:val="ListParagraph"/>
        <w:numPr>
          <w:ilvl w:val="0"/>
          <w:numId w:val="14"/>
        </w:numPr>
        <w:rPr>
          <w:rFonts w:eastAsia="Arial" w:cs="Arial"/>
          <w:lang w:val="fr-CA"/>
        </w:rPr>
      </w:pPr>
      <w:r w:rsidRPr="00CF0C7D">
        <w:rPr>
          <w:rFonts w:eastAsia="Arial" w:cs="Arial"/>
          <w:lang w:val="fr-CA"/>
        </w:rPr>
        <w:t>Processus de candidature inaccessibles</w:t>
      </w:r>
    </w:p>
    <w:p w14:paraId="4E60090F" w14:textId="50C9251A" w:rsidR="00DF2CEC" w:rsidRPr="00CF0C7D" w:rsidRDefault="00DF2CEC">
      <w:pPr>
        <w:pStyle w:val="ListParagraph"/>
        <w:numPr>
          <w:ilvl w:val="0"/>
          <w:numId w:val="14"/>
        </w:numPr>
        <w:rPr>
          <w:rFonts w:eastAsia="Arial" w:cs="Arial"/>
          <w:lang w:val="fr-CA"/>
        </w:rPr>
      </w:pPr>
      <w:r w:rsidRPr="00CF0C7D">
        <w:rPr>
          <w:rFonts w:eastAsia="Arial" w:cs="Arial"/>
          <w:lang w:val="fr-CA"/>
        </w:rPr>
        <w:t>Qualifications (p. ex., manque d’expérience en bénévolat, manque d’expérience professionnelle, manque d’expérience professionnelle au Canada)</w:t>
      </w:r>
    </w:p>
    <w:p w14:paraId="55486DDF" w14:textId="796C74C8" w:rsidR="00DF2CEC" w:rsidRPr="00CF0C7D" w:rsidRDefault="00DF2CEC">
      <w:pPr>
        <w:pStyle w:val="ListParagraph"/>
        <w:numPr>
          <w:ilvl w:val="0"/>
          <w:numId w:val="14"/>
        </w:numPr>
        <w:rPr>
          <w:rFonts w:eastAsia="Arial" w:cs="Arial"/>
          <w:lang w:val="fr-CA"/>
        </w:rPr>
      </w:pPr>
      <w:r w:rsidRPr="00CF0C7D">
        <w:rPr>
          <w:rFonts w:eastAsia="Arial" w:cs="Arial"/>
          <w:lang w:val="fr-CA"/>
        </w:rPr>
        <w:t>Manque de confiance en soi (p. ex., se sentir démotivé par le temps qu’il faut pour trouver un emploi, syndrome de l’imposteur, sentiment d’être jugé)</w:t>
      </w:r>
    </w:p>
    <w:p w14:paraId="56ABF3A7" w14:textId="13D5500B" w:rsidR="00DF2CEC" w:rsidRPr="00CF0C7D" w:rsidRDefault="00DF2CEC">
      <w:pPr>
        <w:pStyle w:val="ListParagraph"/>
        <w:numPr>
          <w:ilvl w:val="0"/>
          <w:numId w:val="14"/>
        </w:numPr>
        <w:rPr>
          <w:rFonts w:eastAsia="Arial" w:cs="Arial"/>
          <w:lang w:val="fr-CA"/>
        </w:rPr>
      </w:pPr>
      <w:r w:rsidRPr="00CF0C7D">
        <w:rPr>
          <w:rFonts w:eastAsia="Arial" w:cs="Arial"/>
          <w:lang w:val="fr-CA"/>
        </w:rPr>
        <w:t>Manque de connaissances sur la culture d’entreprise canadienne</w:t>
      </w:r>
    </w:p>
    <w:p w14:paraId="1DAF403C" w14:textId="484ED885" w:rsidR="00DF2CEC" w:rsidRPr="00CF0C7D" w:rsidRDefault="00DF2CEC">
      <w:pPr>
        <w:pStyle w:val="ListParagraph"/>
        <w:numPr>
          <w:ilvl w:val="0"/>
          <w:numId w:val="14"/>
        </w:numPr>
        <w:rPr>
          <w:rFonts w:eastAsia="Arial" w:cs="Arial"/>
          <w:lang w:val="fr-CA"/>
        </w:rPr>
      </w:pPr>
      <w:r w:rsidRPr="00CF0C7D">
        <w:rPr>
          <w:rFonts w:eastAsia="Arial" w:cs="Arial"/>
          <w:lang w:val="fr-CA"/>
        </w:rPr>
        <w:t>Nécessité de dépendre du transport en commun</w:t>
      </w:r>
    </w:p>
    <w:p w14:paraId="67400D38" w14:textId="7E601D3E" w:rsidR="00DF2CEC" w:rsidRPr="00CF0C7D" w:rsidRDefault="00DF2CEC">
      <w:pPr>
        <w:pStyle w:val="ListParagraph"/>
        <w:numPr>
          <w:ilvl w:val="0"/>
          <w:numId w:val="14"/>
        </w:numPr>
        <w:rPr>
          <w:rFonts w:eastAsia="Arial" w:cs="Arial"/>
          <w:lang w:val="fr-CA"/>
        </w:rPr>
      </w:pPr>
      <w:r w:rsidRPr="00CF0C7D">
        <w:rPr>
          <w:rFonts w:eastAsia="Arial" w:cs="Arial"/>
          <w:lang w:val="fr-CA"/>
        </w:rPr>
        <w:t>Craintes que l’IA ne rende leur emploi obsolète</w:t>
      </w:r>
    </w:p>
    <w:p w14:paraId="1F480BDE" w14:textId="29A01C08" w:rsidR="00DF2CEC" w:rsidRPr="00CF0C7D" w:rsidRDefault="00DF2CEC">
      <w:pPr>
        <w:pStyle w:val="ListParagraph"/>
        <w:numPr>
          <w:ilvl w:val="0"/>
          <w:numId w:val="14"/>
        </w:numPr>
        <w:rPr>
          <w:rFonts w:eastAsia="Arial" w:cs="Arial"/>
          <w:lang w:val="fr-CA"/>
        </w:rPr>
      </w:pPr>
      <w:r w:rsidRPr="00CF0C7D">
        <w:rPr>
          <w:rFonts w:eastAsia="Arial" w:cs="Arial"/>
          <w:lang w:val="fr-CA"/>
        </w:rPr>
        <w:t>Absence d’accès aux soins de santé pendant la transition vers le marché du travail (p. ex., psychiatre ou psychologue)</w:t>
      </w:r>
    </w:p>
    <w:p w14:paraId="29FBF40E" w14:textId="6070ADE2" w:rsidR="00DF2CEC" w:rsidRPr="00CF0C7D" w:rsidRDefault="00DF2CEC">
      <w:pPr>
        <w:pStyle w:val="ListParagraph"/>
        <w:numPr>
          <w:ilvl w:val="0"/>
          <w:numId w:val="14"/>
        </w:numPr>
        <w:rPr>
          <w:rFonts w:eastAsia="Arial" w:cs="Arial"/>
          <w:lang w:val="fr-CA"/>
        </w:rPr>
      </w:pPr>
      <w:r w:rsidRPr="00CF0C7D">
        <w:rPr>
          <w:rFonts w:eastAsia="Arial" w:cs="Arial"/>
          <w:lang w:val="fr-CA"/>
        </w:rPr>
        <w:t xml:space="preserve">Obstacles liés au handicap (p. ex., </w:t>
      </w:r>
      <w:r w:rsidR="0045247B" w:rsidRPr="0045247B">
        <w:rPr>
          <w:rFonts w:eastAsia="Arial" w:cs="Arial"/>
          <w:lang w:val="fr-CA"/>
        </w:rPr>
        <w:t>fatigue, limitations d’énergie ou besoins liés à l’enduranc</w:t>
      </w:r>
      <w:r w:rsidR="0045247B">
        <w:rPr>
          <w:rFonts w:eastAsia="Arial" w:cs="Arial"/>
          <w:lang w:val="fr-CA"/>
        </w:rPr>
        <w:t>e;</w:t>
      </w:r>
      <w:r w:rsidRPr="00CF0C7D">
        <w:rPr>
          <w:rFonts w:eastAsia="Arial" w:cs="Arial"/>
          <w:lang w:val="fr-CA"/>
        </w:rPr>
        <w:t xml:space="preserve"> anxiété sociale)</w:t>
      </w:r>
    </w:p>
    <w:p w14:paraId="41CE7D99" w14:textId="77777777" w:rsidR="00DF2CEC" w:rsidRPr="00CF0C7D" w:rsidRDefault="00DF2CEC" w:rsidP="00DF2CEC">
      <w:pPr>
        <w:rPr>
          <w:rFonts w:eastAsia="Arial" w:cs="Arial"/>
        </w:rPr>
      </w:pPr>
      <w:r w:rsidRPr="00CF0C7D">
        <w:rPr>
          <w:rFonts w:eastAsia="Arial" w:cs="Arial"/>
        </w:rPr>
        <w:t>De nombreux participants ont également fait part des obstacles anticipés au maintien de leur emploi, notamment :</w:t>
      </w:r>
    </w:p>
    <w:p w14:paraId="29B53F7C" w14:textId="398EA4F8" w:rsidR="00DF2CEC" w:rsidRPr="00CF0C7D" w:rsidRDefault="00DF2CEC">
      <w:pPr>
        <w:pStyle w:val="ListParagraph"/>
        <w:numPr>
          <w:ilvl w:val="0"/>
          <w:numId w:val="13"/>
        </w:numPr>
        <w:rPr>
          <w:rFonts w:eastAsia="Arial" w:cs="Arial"/>
          <w:lang w:val="fr-CA"/>
        </w:rPr>
      </w:pPr>
      <w:r w:rsidRPr="00CF0C7D">
        <w:rPr>
          <w:rFonts w:eastAsia="Arial" w:cs="Arial"/>
          <w:lang w:val="fr-CA"/>
        </w:rPr>
        <w:t>La stigmatisation ou la discrimination (p. ex., manque de compréhension de la part des collègues, refus de paraître vulnérable en tant qu’homme, sentiment de ne pas être valorisé en tant qu’embauche symbolique, crainte que le handicap ne soit pas pris au sérieux, discrimination fondée sur le handicap ayant une incidence sur la sécurité d’emploi et les évaluations de rendement)</w:t>
      </w:r>
    </w:p>
    <w:p w14:paraId="295136EA" w14:textId="1455C5B6" w:rsidR="00DF2CEC" w:rsidRPr="00CF0C7D" w:rsidRDefault="00DF2CEC">
      <w:pPr>
        <w:pStyle w:val="ListParagraph"/>
        <w:numPr>
          <w:ilvl w:val="0"/>
          <w:numId w:val="13"/>
        </w:numPr>
        <w:rPr>
          <w:rFonts w:eastAsia="Arial" w:cs="Arial"/>
          <w:lang w:val="fr-CA"/>
        </w:rPr>
      </w:pPr>
      <w:r w:rsidRPr="00CF0C7D">
        <w:rPr>
          <w:rFonts w:eastAsia="Arial" w:cs="Arial"/>
          <w:lang w:val="fr-CA"/>
        </w:rPr>
        <w:t>L’incertitude ou la réticence à divulguer son handicap</w:t>
      </w:r>
    </w:p>
    <w:p w14:paraId="2BB471B2" w14:textId="128FDB31" w:rsidR="00DF2CEC" w:rsidRPr="00CF0C7D" w:rsidRDefault="00DF2CEC">
      <w:pPr>
        <w:pStyle w:val="ListParagraph"/>
        <w:numPr>
          <w:ilvl w:val="0"/>
          <w:numId w:val="13"/>
        </w:numPr>
        <w:rPr>
          <w:rFonts w:eastAsia="Arial" w:cs="Arial"/>
          <w:lang w:val="fr-CA"/>
        </w:rPr>
      </w:pPr>
      <w:r w:rsidRPr="00CF0C7D">
        <w:rPr>
          <w:rFonts w:eastAsia="Arial" w:cs="Arial"/>
          <w:lang w:val="fr-CA"/>
        </w:rPr>
        <w:t>Le refus d</w:t>
      </w:r>
      <w:r w:rsidR="00E74A8A">
        <w:rPr>
          <w:rFonts w:eastAsia="Arial" w:cs="Arial"/>
          <w:lang w:val="fr-CA"/>
        </w:rPr>
        <w:t>es mesures d’adaptation</w:t>
      </w:r>
    </w:p>
    <w:p w14:paraId="447A8677" w14:textId="0A156E92" w:rsidR="00DF2CEC" w:rsidRPr="00CF0C7D" w:rsidRDefault="00DF2CEC">
      <w:pPr>
        <w:pStyle w:val="ListParagraph"/>
        <w:numPr>
          <w:ilvl w:val="0"/>
          <w:numId w:val="13"/>
        </w:numPr>
        <w:rPr>
          <w:rFonts w:eastAsia="Arial" w:cs="Arial"/>
          <w:lang w:val="fr-CA"/>
        </w:rPr>
      </w:pPr>
      <w:r w:rsidRPr="00CF0C7D">
        <w:rPr>
          <w:rFonts w:eastAsia="Arial" w:cs="Arial"/>
          <w:lang w:val="fr-CA"/>
        </w:rPr>
        <w:t xml:space="preserve">Des attentes et </w:t>
      </w:r>
      <w:r w:rsidR="00985C24" w:rsidRPr="00CF0C7D">
        <w:rPr>
          <w:rFonts w:eastAsia="Arial" w:cs="Arial"/>
          <w:lang w:val="fr-CA"/>
        </w:rPr>
        <w:t>une communication peu claire</w:t>
      </w:r>
    </w:p>
    <w:p w14:paraId="227459F4" w14:textId="375BA12F" w:rsidR="00DF2CEC" w:rsidRPr="00CF0C7D" w:rsidRDefault="00DF2CEC">
      <w:pPr>
        <w:pStyle w:val="ListParagraph"/>
        <w:numPr>
          <w:ilvl w:val="0"/>
          <w:numId w:val="13"/>
        </w:numPr>
        <w:rPr>
          <w:rFonts w:eastAsia="Arial" w:cs="Arial"/>
          <w:lang w:val="fr-CA"/>
        </w:rPr>
      </w:pPr>
      <w:r w:rsidRPr="00CF0C7D">
        <w:rPr>
          <w:rFonts w:eastAsia="Arial" w:cs="Arial"/>
          <w:lang w:val="fr-CA"/>
        </w:rPr>
        <w:t>Les normes en milieu de travail (p. ex., la compréhension de la culture d’entreprise canadienne)</w:t>
      </w:r>
    </w:p>
    <w:p w14:paraId="28A51D94" w14:textId="1702E101" w:rsidR="00F81B97" w:rsidRPr="00CF0C7D" w:rsidRDefault="007F2B23" w:rsidP="00B312C8">
      <w:pPr>
        <w:rPr>
          <w:rFonts w:eastAsia="Arial" w:cs="Arial"/>
        </w:rPr>
      </w:pPr>
      <w:r w:rsidRPr="00CF0C7D">
        <w:rPr>
          <w:rFonts w:eastAsia="Arial" w:cs="Arial"/>
        </w:rPr>
        <w:t xml:space="preserve">Plusieurs participants ont également identifié des facteurs facilitant l’obtention d’un emploi. Ils ont souligné ce qu’ils percevaient comme une plus grande acceptation sociale des </w:t>
      </w:r>
      <w:r w:rsidR="0045247B">
        <w:rPr>
          <w:rFonts w:eastAsia="Arial" w:cs="Arial"/>
        </w:rPr>
        <w:t>personnes en situation de handicap</w:t>
      </w:r>
      <w:r w:rsidRPr="00CF0C7D">
        <w:rPr>
          <w:rFonts w:eastAsia="Arial" w:cs="Arial"/>
        </w:rPr>
        <w:t xml:space="preserve"> (plus d’ouverture d’esprit, de sensibilisation et de familiarité avec le handicap en général), ainsi que des forces personnelles, telles que le sentiment d’avoir confiance en soi, d’être qualifié ou bien préparé.</w:t>
      </w:r>
    </w:p>
    <w:p w14:paraId="53F65DB5" w14:textId="42C167E2" w:rsidR="00ED5B89" w:rsidRPr="00CF0C7D" w:rsidRDefault="007F2B23" w:rsidP="00ED5B89">
      <w:pPr>
        <w:rPr>
          <w:rFonts w:eastAsia="Arial" w:cs="Arial"/>
        </w:rPr>
      </w:pPr>
      <w:r w:rsidRPr="00CF0C7D">
        <w:rPr>
          <w:rFonts w:eastAsia="Arial" w:cs="Arial"/>
        </w:rPr>
        <w:t>Les participants ont décrit des facteurs précis qui ont façonné leur niveau de préparation à la transition de l’école au marché du travail, notamment la manière dont leur sentiment de préparation était influencé par des facteurs d’identité intersectionnels, leurs expériences de travail antérieures et leurs expériences scolaires.</w:t>
      </w:r>
    </w:p>
    <w:p w14:paraId="2D75BD20" w14:textId="7686167C" w:rsidR="00ED5B89" w:rsidRPr="00CF0C7D" w:rsidRDefault="00917426" w:rsidP="00530893">
      <w:pPr>
        <w:pStyle w:val="Heading3"/>
      </w:pPr>
      <w:r w:rsidRPr="00CF0C7D">
        <w:t>Facteurs d’intersectionnalité</w:t>
      </w:r>
    </w:p>
    <w:p w14:paraId="2D485C33" w14:textId="0351F697" w:rsidR="00ED5B89" w:rsidRPr="00CF0C7D" w:rsidRDefault="00917426" w:rsidP="00ED5B89">
      <w:pPr>
        <w:rPr>
          <w:rFonts w:eastAsia="Arial" w:cs="Arial"/>
        </w:rPr>
      </w:pPr>
      <w:r w:rsidRPr="00CF0C7D">
        <w:rPr>
          <w:rFonts w:eastAsia="Arial" w:cs="Arial"/>
        </w:rPr>
        <w:t xml:space="preserve">Quelques participants ont expliqué en quoi le fait d’être une personne </w:t>
      </w:r>
      <w:r w:rsidR="0045247B">
        <w:rPr>
          <w:rFonts w:eastAsia="Arial" w:cs="Arial"/>
        </w:rPr>
        <w:t>en situation de handicap</w:t>
      </w:r>
      <w:r w:rsidRPr="00CF0C7D">
        <w:rPr>
          <w:rFonts w:eastAsia="Arial" w:cs="Arial"/>
        </w:rPr>
        <w:t xml:space="preserve"> pouvait influencer leurs expériences :</w:t>
      </w:r>
      <w:r w:rsidR="00DB1EC5" w:rsidRPr="00CF0C7D">
        <w:rPr>
          <w:rFonts w:eastAsia="Arial" w:cs="Arial"/>
        </w:rPr>
        <w:t xml:space="preserve"> </w:t>
      </w:r>
    </w:p>
    <w:p w14:paraId="4C05E9C4" w14:textId="49D3AF38" w:rsidR="00ED5B89" w:rsidRPr="00CF0C7D" w:rsidRDefault="00ED5B89" w:rsidP="00ED5B89">
      <w:pPr>
        <w:ind w:left="720"/>
        <w:rPr>
          <w:rFonts w:eastAsia="Arial" w:cs="Arial"/>
        </w:rPr>
      </w:pPr>
      <w:r w:rsidRPr="006769B9">
        <w:rPr>
          <w:rFonts w:eastAsia="Arial" w:cs="Arial"/>
          <w:i/>
          <w:iCs/>
          <w:lang w:val="en-US"/>
        </w:rPr>
        <w:lastRenderedPageBreak/>
        <w:t>“</w:t>
      </w:r>
      <w:r w:rsidR="00FD1872" w:rsidRPr="006769B9">
        <w:rPr>
          <w:rFonts w:eastAsia="Arial" w:cs="Arial"/>
          <w:i/>
          <w:iCs/>
          <w:lang w:val="en-US"/>
        </w:rPr>
        <w:t>W</w:t>
      </w:r>
      <w:r w:rsidRPr="006769B9">
        <w:rPr>
          <w:rFonts w:eastAsia="Arial" w:cs="Arial"/>
          <w:i/>
          <w:iCs/>
          <w:lang w:val="en-US"/>
        </w:rPr>
        <w:t xml:space="preserve">henever I’m in an interview or like preparing for one […] being worried that you're not going to meet that expectation and that [for] someone like me, who is disabled, it's like harder to compete and match the same level in terms of the presentation and answers or whatever it may be in an interview or job performance evaluation." </w:t>
      </w:r>
      <w:r w:rsidRPr="00CF0C7D">
        <w:rPr>
          <w:rFonts w:eastAsia="Arial" w:cs="Arial"/>
        </w:rPr>
        <w:t>(SF02-C01)</w:t>
      </w:r>
    </w:p>
    <w:p w14:paraId="196F4D6C" w14:textId="5DD8234F" w:rsidR="00917426" w:rsidRPr="00CF0C7D" w:rsidRDefault="00917426" w:rsidP="00917426">
      <w:pPr>
        <w:ind w:left="720"/>
        <w:rPr>
          <w:rFonts w:eastAsia="Arial" w:cs="Arial"/>
        </w:rPr>
      </w:pPr>
      <w:r w:rsidRPr="00CF0C7D">
        <w:rPr>
          <w:rFonts w:eastAsia="Arial" w:cs="Arial"/>
        </w:rPr>
        <w:t>[Chaque fois que je suis à une entrevue ou que je m’y prépare […] je crains de ne pas répondre aux attentes et, pour quelqu’un comme moi, qui a un handicap, c’est plus difficile de rivaliser et d’atteindre le même niveau en matière de présentation, de réponses ou de tout autre aspect d’une entrevue ou d’une évaluation de rendement au travail.]</w:t>
      </w:r>
    </w:p>
    <w:p w14:paraId="1A1907D3" w14:textId="61BED8BC" w:rsidR="00DB1EC5" w:rsidRPr="00CF0C7D" w:rsidRDefault="00917426" w:rsidP="00DB1EC5">
      <w:pPr>
        <w:rPr>
          <w:rFonts w:eastAsia="Arial" w:cs="Arial"/>
        </w:rPr>
      </w:pPr>
      <w:r w:rsidRPr="00CF0C7D">
        <w:rPr>
          <w:rFonts w:eastAsia="Arial" w:cs="Arial"/>
        </w:rPr>
        <w:t>Plusieurs participants ont décrit comment le fait d’être en situation de handicap, combiné aux dynamiques de genre, influençait leur niveau de préparation. Par exemple, le fait de ne pas pouvoir répondre aux attentes sur le marché du travail ou d’être perçu comme faible, surtout en tant qu’homme :</w:t>
      </w:r>
    </w:p>
    <w:p w14:paraId="19E5EADC" w14:textId="5D776783" w:rsidR="00ED5B89" w:rsidRPr="00CF0C7D" w:rsidRDefault="00ED5B89" w:rsidP="00ED5B89">
      <w:pPr>
        <w:ind w:left="720"/>
        <w:rPr>
          <w:rFonts w:eastAsia="Arial" w:cs="Arial"/>
        </w:rPr>
      </w:pPr>
      <w:r w:rsidRPr="006769B9">
        <w:rPr>
          <w:rFonts w:eastAsia="Arial" w:cs="Arial"/>
          <w:i/>
          <w:iCs/>
          <w:lang w:val="en-US"/>
        </w:rPr>
        <w:t>"</w:t>
      </w:r>
      <w:r w:rsidR="00FD1872" w:rsidRPr="006769B9">
        <w:rPr>
          <w:rFonts w:eastAsia="Arial" w:cs="Arial"/>
          <w:i/>
          <w:iCs/>
          <w:lang w:val="en-US"/>
        </w:rPr>
        <w:t>S</w:t>
      </w:r>
      <w:r w:rsidRPr="006769B9">
        <w:rPr>
          <w:rFonts w:eastAsia="Arial" w:cs="Arial"/>
          <w:i/>
          <w:iCs/>
          <w:lang w:val="en-US"/>
        </w:rPr>
        <w:t>ocietally, I feel like, as someone who identifies as a man, there tends to be the notion that you shouldn't be weak in any sense. And I don't think the disability is a weakness, but I do think that it can sometimes come off that way when you're not able to do the same things that other people are able to do."</w:t>
      </w:r>
      <w:r w:rsidRPr="006769B9">
        <w:rPr>
          <w:rFonts w:eastAsia="Arial" w:cs="Arial"/>
          <w:lang w:val="en-US"/>
        </w:rPr>
        <w:t xml:space="preserve"> </w:t>
      </w:r>
      <w:r w:rsidRPr="00CF0C7D">
        <w:rPr>
          <w:rFonts w:eastAsia="Arial" w:cs="Arial"/>
        </w:rPr>
        <w:t>(SF02-C02)</w:t>
      </w:r>
    </w:p>
    <w:p w14:paraId="2E9FF179" w14:textId="10CA59D3" w:rsidR="00917426" w:rsidRPr="00CF0C7D" w:rsidRDefault="00917426" w:rsidP="00ED5B89">
      <w:pPr>
        <w:ind w:left="720"/>
        <w:rPr>
          <w:rFonts w:eastAsia="Arial" w:cs="Arial"/>
        </w:rPr>
      </w:pPr>
      <w:r w:rsidRPr="00CF0C7D">
        <w:rPr>
          <w:rFonts w:eastAsia="Arial" w:cs="Arial"/>
        </w:rPr>
        <w:t>[Sur le plan social, j’ai l’impression qu’en tant que personne s’identifiant comme un homme, il y a souvent cette idée qu’on ne devrait pas être faible, sous quelque forme que ce soit. Je ne pense pas que le handicap soit une faiblesse, mais je crois bien que cela peut parfois être perçu ainsi lorsqu’on n’est pas capable de faire les mêmes choses que les autres.]</w:t>
      </w:r>
    </w:p>
    <w:p w14:paraId="7DA4DEC6" w14:textId="04EB01D3" w:rsidR="00ED5B89" w:rsidRPr="00CF0C7D" w:rsidRDefault="00917426" w:rsidP="00ED5B89">
      <w:pPr>
        <w:rPr>
          <w:rFonts w:eastAsia="Arial" w:cs="Arial"/>
        </w:rPr>
      </w:pPr>
      <w:r w:rsidRPr="00CF0C7D">
        <w:rPr>
          <w:rFonts w:eastAsia="Arial" w:cs="Arial"/>
        </w:rPr>
        <w:t>Une participante a expliqué qu’en tant que femme, elle ressentait une pression pour trouver rapidement un emploi afin d’être suffisamment à l’aise financièrement pour prendre un congé parental :</w:t>
      </w:r>
      <w:r w:rsidR="00ED5B89" w:rsidRPr="00CF0C7D">
        <w:rPr>
          <w:rFonts w:eastAsia="Arial" w:cs="Arial"/>
        </w:rPr>
        <w:t xml:space="preserve"> </w:t>
      </w:r>
    </w:p>
    <w:p w14:paraId="39034A31" w14:textId="0A9FD236" w:rsidR="00ED5B89" w:rsidRPr="00CF0C7D" w:rsidRDefault="00ED5B89" w:rsidP="00917426">
      <w:pPr>
        <w:ind w:left="720"/>
        <w:rPr>
          <w:rFonts w:eastAsia="Arial" w:cs="Arial"/>
        </w:rPr>
      </w:pPr>
      <w:r w:rsidRPr="006769B9">
        <w:rPr>
          <w:rFonts w:eastAsia="Arial" w:cs="Arial"/>
          <w:i/>
          <w:iCs/>
          <w:lang w:val="en-US"/>
        </w:rPr>
        <w:t>"I believe as a woman I have to find a job just as soon as possible, sooner than another gender or other genders because I am in a position where I can have children and I want to have children. So, I feel that if I do not secure a position after leaving school within a reasonable amount of time, it will not provide me enough time to secure that position comfortably so I can leave it and take maternity and be able to come back to that job."</w:t>
      </w:r>
      <w:r w:rsidR="00173104" w:rsidRPr="006769B9">
        <w:rPr>
          <w:rFonts w:eastAsia="Arial" w:cs="Arial"/>
          <w:i/>
          <w:iCs/>
          <w:lang w:val="en-US"/>
        </w:rPr>
        <w:t>]</w:t>
      </w:r>
      <w:r w:rsidR="00917426" w:rsidRPr="006769B9">
        <w:rPr>
          <w:rFonts w:eastAsia="Arial" w:cs="Arial"/>
          <w:i/>
          <w:iCs/>
          <w:lang w:val="en-US"/>
        </w:rPr>
        <w:t xml:space="preserve"> </w:t>
      </w:r>
      <w:r w:rsidRPr="00CF0C7D">
        <w:rPr>
          <w:rFonts w:eastAsia="Arial" w:cs="Arial"/>
        </w:rPr>
        <w:t>(SF04-C01)</w:t>
      </w:r>
    </w:p>
    <w:p w14:paraId="0923E3F7" w14:textId="38C92D8D" w:rsidR="00917426" w:rsidRPr="00CF0C7D" w:rsidRDefault="00917426" w:rsidP="00917426">
      <w:pPr>
        <w:ind w:left="720"/>
        <w:rPr>
          <w:rFonts w:eastAsia="Arial" w:cs="Arial"/>
        </w:rPr>
      </w:pPr>
      <w:r w:rsidRPr="00CF0C7D">
        <w:rPr>
          <w:rFonts w:eastAsia="Arial" w:cs="Arial"/>
        </w:rPr>
        <w:t>[Je crois qu’en tant que femme, je dois trouver un emploi le plus tôt possible, plus tôt qu’une personne d’un autre genre ou que d’autres genres, parce que je suis dans une situation où je peux avoir des enfants et que je veux en avoir. Je pense donc que si je ne décroche pas un poste après avoir terminé mes études dans un délai raisonnable, je n’aurai pas suffisamment de temps pour m’assurer ce poste en toute sérénité, de manière à pouvoir le quitter pour prendre un congé de maternité et être en mesure de revenir à ce poste.]</w:t>
      </w:r>
    </w:p>
    <w:p w14:paraId="4E4201CE" w14:textId="55BED6CA" w:rsidR="00ED5B89" w:rsidRPr="00CF0C7D" w:rsidRDefault="00917426" w:rsidP="00ED5B89">
      <w:pPr>
        <w:rPr>
          <w:rFonts w:eastAsia="Arial" w:cs="Arial"/>
        </w:rPr>
      </w:pPr>
      <w:r w:rsidRPr="00CF0C7D">
        <w:rPr>
          <w:rFonts w:eastAsia="Arial" w:cs="Arial"/>
        </w:rPr>
        <w:t xml:space="preserve">Un participant estimait également qu’il pourrait avoir plus de difficulté à être embauché en tant qu’homme, car il percevait que les employeurs préfèrent embaucher des femmes, et pensait qu’il devrait mettre en avant son identité de </w:t>
      </w:r>
      <w:r w:rsidR="00E74A8A" w:rsidRPr="00E74A8A">
        <w:rPr>
          <w:rFonts w:eastAsia="Arial" w:cs="Arial"/>
        </w:rPr>
        <w:t xml:space="preserve">personne racialisée </w:t>
      </w:r>
      <w:r w:rsidR="0045247B">
        <w:rPr>
          <w:rFonts w:eastAsia="Arial" w:cs="Arial"/>
        </w:rPr>
        <w:t>en situation de handicap</w:t>
      </w:r>
      <w:r w:rsidRPr="00CF0C7D">
        <w:rPr>
          <w:rFonts w:eastAsia="Arial" w:cs="Arial"/>
        </w:rPr>
        <w:t xml:space="preserve"> pour être embauché.</w:t>
      </w:r>
    </w:p>
    <w:p w14:paraId="16761759" w14:textId="5B9B9104" w:rsidR="00655BA9" w:rsidRPr="00CF0C7D" w:rsidRDefault="00917426" w:rsidP="00655BA9">
      <w:pPr>
        <w:rPr>
          <w:rFonts w:eastAsia="Arial" w:cs="Arial"/>
        </w:rPr>
      </w:pPr>
      <w:r w:rsidRPr="00CF0C7D">
        <w:rPr>
          <w:rFonts w:eastAsia="Arial" w:cs="Arial"/>
        </w:rPr>
        <w:t xml:space="preserve">Quelques participants ont également évoqué la manière dont d’autres identités intersectionnelles, notamment le statut socio-économique et l’orientation sexuelle, peuvent avoir </w:t>
      </w:r>
      <w:r w:rsidRPr="00CF0C7D">
        <w:rPr>
          <w:rFonts w:eastAsia="Arial" w:cs="Arial"/>
        </w:rPr>
        <w:lastRenderedPageBreak/>
        <w:t>un impact sur leur confiance en soi, ce qui peut influencer leur sentiment de mérite ou leur cynisme quant à leurs perspectives d’emploi :</w:t>
      </w:r>
    </w:p>
    <w:p w14:paraId="4B6A6A94" w14:textId="60D5F422" w:rsidR="00655BA9" w:rsidRPr="00CF0C7D" w:rsidRDefault="00655BA9" w:rsidP="00655BA9">
      <w:pPr>
        <w:ind w:left="720"/>
        <w:rPr>
          <w:rFonts w:eastAsia="Arial" w:cs="Arial"/>
        </w:rPr>
      </w:pPr>
      <w:r w:rsidRPr="006769B9">
        <w:rPr>
          <w:rFonts w:eastAsia="Arial" w:cs="Arial"/>
          <w:i/>
          <w:iCs/>
          <w:lang w:val="en-US"/>
        </w:rPr>
        <w:t>"I have lived through generational poverty and live in poverty […] as a woman in general, but as again, someone who is low class, I have sort of like that imposter syndrome and it's something that I've been having to reconcile when it comes to looking for work as well. Like it's sort of that whole deservedness. And will I be able to fit into those organizations?”</w:t>
      </w:r>
      <w:r w:rsidRPr="006769B9">
        <w:rPr>
          <w:rFonts w:eastAsia="Arial" w:cs="Arial"/>
          <w:lang w:val="en-US"/>
        </w:rPr>
        <w:t xml:space="preserve"> </w:t>
      </w:r>
      <w:r w:rsidRPr="00CF0C7D">
        <w:rPr>
          <w:rFonts w:eastAsia="Arial" w:cs="Arial"/>
        </w:rPr>
        <w:t>(SF03-C02)</w:t>
      </w:r>
    </w:p>
    <w:p w14:paraId="64C2E8F8" w14:textId="7F515D71" w:rsidR="00917426" w:rsidRPr="006769B9" w:rsidRDefault="00917426" w:rsidP="00917426">
      <w:pPr>
        <w:ind w:left="720"/>
        <w:rPr>
          <w:rFonts w:eastAsia="Arial" w:cs="Arial"/>
          <w:lang w:val="en-US"/>
        </w:rPr>
      </w:pPr>
      <w:r w:rsidRPr="00CF0C7D">
        <w:rPr>
          <w:rFonts w:eastAsia="Arial" w:cs="Arial"/>
        </w:rPr>
        <w:t xml:space="preserve">[J’ai vécu la pauvreté générationnelle et je vis dans la pauvreté […] en tant que femme en général, mais aussi en tant que </w:t>
      </w:r>
      <w:r w:rsidR="00C5165A" w:rsidRPr="00C5165A">
        <w:rPr>
          <w:rFonts w:eastAsia="Arial" w:cs="Arial"/>
        </w:rPr>
        <w:t>personne issue d’un milieu socioéconomique défavorisé</w:t>
      </w:r>
      <w:r w:rsidRPr="00CF0C7D">
        <w:rPr>
          <w:rFonts w:eastAsia="Arial" w:cs="Arial"/>
        </w:rPr>
        <w:t xml:space="preserve">, j’ai une sorte de syndrome de l’imposteur et c’est quelque chose avec lequel j’ai dû composer également dans ma recherche d’emploi. C’est en quelque sorte une question de sentiment de mérite. </w:t>
      </w:r>
      <w:r w:rsidRPr="006769B9">
        <w:rPr>
          <w:rFonts w:eastAsia="Arial" w:cs="Arial"/>
          <w:lang w:val="en-US"/>
        </w:rPr>
        <w:t>Et serai-je capable de m’intégrer dans ces organisations?]</w:t>
      </w:r>
    </w:p>
    <w:p w14:paraId="0362DE65" w14:textId="77777777" w:rsidR="00917426" w:rsidRPr="006769B9" w:rsidRDefault="00917426" w:rsidP="00655BA9">
      <w:pPr>
        <w:ind w:left="720"/>
        <w:rPr>
          <w:rFonts w:eastAsia="Arial" w:cs="Arial"/>
          <w:lang w:val="en-US"/>
        </w:rPr>
      </w:pPr>
    </w:p>
    <w:p w14:paraId="52154E9F" w14:textId="24ACE18B" w:rsidR="00655BA9" w:rsidRPr="00CF0C7D" w:rsidRDefault="00655BA9" w:rsidP="00655BA9">
      <w:pPr>
        <w:ind w:left="720"/>
        <w:rPr>
          <w:rFonts w:eastAsia="Arial" w:cs="Arial"/>
        </w:rPr>
      </w:pPr>
      <w:r w:rsidRPr="006769B9">
        <w:rPr>
          <w:rFonts w:eastAsia="Arial" w:cs="Arial"/>
          <w:i/>
          <w:iCs/>
          <w:lang w:val="en-US"/>
        </w:rPr>
        <w:t>“Being disabled or being queer, being all sorts of things where you don't necessarily fit other people's expectations can kind of damage your confidence and stuff a little bit. That there can be a little bit more maybe of a tendency to be a little bit like cynical about your prospects sometimes</w:t>
      </w:r>
      <w:r w:rsidR="00917426" w:rsidRPr="006769B9">
        <w:rPr>
          <w:rFonts w:eastAsia="Arial" w:cs="Arial"/>
          <w:i/>
          <w:iCs/>
          <w:lang w:val="en-US"/>
        </w:rPr>
        <w:t>.</w:t>
      </w:r>
      <w:r w:rsidRPr="006769B9">
        <w:rPr>
          <w:rFonts w:eastAsia="Arial" w:cs="Arial"/>
          <w:i/>
          <w:iCs/>
          <w:lang w:val="en-US"/>
        </w:rPr>
        <w:t>”</w:t>
      </w:r>
      <w:r w:rsidRPr="006769B9">
        <w:rPr>
          <w:rFonts w:eastAsia="Arial" w:cs="Arial"/>
          <w:lang w:val="en-US"/>
        </w:rPr>
        <w:t xml:space="preserve"> </w:t>
      </w:r>
      <w:r w:rsidRPr="00CF0C7D">
        <w:rPr>
          <w:rFonts w:eastAsia="Arial" w:cs="Arial"/>
        </w:rPr>
        <w:t>(SF05-C01)</w:t>
      </w:r>
    </w:p>
    <w:p w14:paraId="41E9EC17" w14:textId="67F3252B" w:rsidR="00917426" w:rsidRPr="00CF0C7D" w:rsidRDefault="00917426" w:rsidP="00655BA9">
      <w:pPr>
        <w:ind w:left="720"/>
        <w:rPr>
          <w:rFonts w:eastAsia="Arial" w:cs="Arial"/>
        </w:rPr>
      </w:pPr>
      <w:r w:rsidRPr="00CF0C7D">
        <w:rPr>
          <w:rFonts w:eastAsia="Arial" w:cs="Arial"/>
        </w:rPr>
        <w:t>[Être en situation de handicap ou queer, être toutes sortes de choses qui ne correspondent pas nécessairement aux attentes des autres, ça peut un peu miner ta confiance en toi et tout ça. On a parfois tendance à être un peu cynique quant à ses perspectives d’avenir.]</w:t>
      </w:r>
    </w:p>
    <w:p w14:paraId="554C2B07" w14:textId="74695300" w:rsidR="00ED5B89" w:rsidRPr="00CF0C7D" w:rsidRDefault="00917426" w:rsidP="00ED5B89">
      <w:pPr>
        <w:rPr>
          <w:rFonts w:eastAsia="Arial" w:cs="Arial"/>
        </w:rPr>
      </w:pPr>
      <w:r w:rsidRPr="00CF0C7D">
        <w:rPr>
          <w:rFonts w:eastAsia="Arial" w:cs="Arial"/>
        </w:rPr>
        <w:t>Enfin, un participant originaire d’un pays d’Asie du Sud estimait que le Canada était plus inclusif envers les différentes origines ethniques et se montrait optimiste quant à ses perspectives :</w:t>
      </w:r>
      <w:r w:rsidR="00ED5B89" w:rsidRPr="00CF0C7D">
        <w:rPr>
          <w:rFonts w:eastAsia="Arial" w:cs="Arial"/>
        </w:rPr>
        <w:t xml:space="preserve"> </w:t>
      </w:r>
      <w:r w:rsidR="00ED5B89" w:rsidRPr="00CF0C7D">
        <w:rPr>
          <w:rFonts w:eastAsia="Arial" w:cs="Arial"/>
          <w:i/>
          <w:iCs/>
        </w:rPr>
        <w:t>"in Canada […] people are very patient and very inclusive when it comes to embracing different cultural groups […] that's a very good thing</w:t>
      </w:r>
      <w:r w:rsidR="00B64ACB" w:rsidRPr="00CF0C7D">
        <w:rPr>
          <w:rFonts w:eastAsia="Arial" w:cs="Arial"/>
          <w:i/>
          <w:iCs/>
        </w:rPr>
        <w:t>.</w:t>
      </w:r>
      <w:r w:rsidR="00ED5B89" w:rsidRPr="00CF0C7D">
        <w:rPr>
          <w:rFonts w:eastAsia="Arial" w:cs="Arial"/>
          <w:i/>
          <w:iCs/>
        </w:rPr>
        <w:t>"</w:t>
      </w:r>
      <w:r w:rsidRPr="00CF0C7D">
        <w:rPr>
          <w:rFonts w:eastAsia="Arial" w:cs="Arial"/>
        </w:rPr>
        <w:t xml:space="preserve"> [au Canada […] les gens sont très patients et très inclusifs lorsqu’il s’agit d’accueillir différents groupes culturels […] c’est une très bonne chose.]</w:t>
      </w:r>
    </w:p>
    <w:p w14:paraId="661B9AA9" w14:textId="6DBC3227" w:rsidR="00ED5B89" w:rsidRPr="00CF0C7D" w:rsidRDefault="008A39CF" w:rsidP="00ED5B89">
      <w:pPr>
        <w:pStyle w:val="Heading3"/>
        <w:rPr>
          <w:rFonts w:eastAsia="Arial" w:cs="Arial"/>
        </w:rPr>
      </w:pPr>
      <w:r w:rsidRPr="00CF0C7D">
        <w:rPr>
          <w:rFonts w:eastAsia="Arial" w:cs="Arial"/>
        </w:rPr>
        <w:t>Comment l’expérience professionnelle antérieure a influencé le niveau de préparation</w:t>
      </w:r>
    </w:p>
    <w:p w14:paraId="4A0BBF53" w14:textId="77777777" w:rsidR="008A39CF" w:rsidRPr="00CF0C7D" w:rsidRDefault="008A39CF" w:rsidP="002A4153">
      <w:pPr>
        <w:rPr>
          <w:rFonts w:eastAsia="Arial" w:cs="Arial"/>
        </w:rPr>
      </w:pPr>
      <w:r w:rsidRPr="00CF0C7D">
        <w:rPr>
          <w:rFonts w:eastAsia="Arial" w:cs="Arial"/>
        </w:rPr>
        <w:t>Plusieurs participants ont expliqué en quoi leurs expériences professionnelles antérieures les avaient aidés à se sentir mieux préparés à la transition de l’école au marché du travail. Pour certains, cela leur a permis d’acquérir des compétences :</w:t>
      </w:r>
      <w:r w:rsidR="006214B1" w:rsidRPr="00CF0C7D">
        <w:rPr>
          <w:rFonts w:eastAsia="Arial" w:cs="Arial"/>
        </w:rPr>
        <w:t xml:space="preserve"> </w:t>
      </w:r>
    </w:p>
    <w:p w14:paraId="42A10F4C" w14:textId="042F610E" w:rsidR="008A39CF" w:rsidRPr="00CF0C7D" w:rsidRDefault="00ED5B89" w:rsidP="008A39CF">
      <w:pPr>
        <w:ind w:left="720"/>
        <w:rPr>
          <w:rFonts w:eastAsia="Arial" w:cs="Arial"/>
        </w:rPr>
      </w:pPr>
      <w:r w:rsidRPr="006769B9">
        <w:rPr>
          <w:rFonts w:eastAsia="Arial" w:cs="Arial"/>
          <w:i/>
          <w:iCs/>
          <w:lang w:val="en-US"/>
        </w:rPr>
        <w:t>"through my job, I've just learned a lot and met a lot of people. And I feel like most the networking I've done is through my job</w:t>
      </w:r>
      <w:r w:rsidR="006214B1" w:rsidRPr="006769B9">
        <w:rPr>
          <w:rFonts w:eastAsia="Arial" w:cs="Arial"/>
          <w:i/>
          <w:iCs/>
          <w:lang w:val="en-US"/>
        </w:rPr>
        <w:t>.</w:t>
      </w:r>
      <w:r w:rsidRPr="006769B9">
        <w:rPr>
          <w:rFonts w:eastAsia="Arial" w:cs="Arial"/>
          <w:i/>
          <w:iCs/>
          <w:lang w:val="en-US"/>
        </w:rPr>
        <w:t xml:space="preserve">” </w:t>
      </w:r>
      <w:r w:rsidRPr="00CF0C7D">
        <w:rPr>
          <w:rFonts w:eastAsia="Arial" w:cs="Arial"/>
        </w:rPr>
        <w:t>(SF01-C03)</w:t>
      </w:r>
    </w:p>
    <w:p w14:paraId="421C87B2" w14:textId="657FE972" w:rsidR="008A39CF" w:rsidRPr="00CF0C7D" w:rsidRDefault="008A39CF" w:rsidP="008A39CF">
      <w:pPr>
        <w:ind w:left="720"/>
        <w:rPr>
          <w:rFonts w:eastAsia="Arial" w:cs="Arial"/>
        </w:rPr>
      </w:pPr>
      <w:r w:rsidRPr="00CF0C7D">
        <w:rPr>
          <w:rFonts w:eastAsia="Arial" w:cs="Arial"/>
        </w:rPr>
        <w:t>[Grâce à mon emploi, j’ai beaucoup appris et j’ai rencontré beaucoup de gens. Et j’ai l’impression que la plupart de mon réseautage s’est fait par le biais de mon emploi.]</w:t>
      </w:r>
    </w:p>
    <w:p w14:paraId="151E65F3" w14:textId="77777777" w:rsidR="008A39CF" w:rsidRPr="00CF0C7D" w:rsidRDefault="008A39CF" w:rsidP="00ED5B89">
      <w:pPr>
        <w:rPr>
          <w:rFonts w:eastAsia="Arial" w:cs="Arial"/>
        </w:rPr>
      </w:pPr>
      <w:r w:rsidRPr="00CF0C7D">
        <w:rPr>
          <w:rFonts w:eastAsia="Arial" w:cs="Arial"/>
        </w:rPr>
        <w:t>D’autres ont indiqué que le bénévolat les avait aidés à se faire une idée du cheminement de carrière, que les expériences de travail leur avaient permis de voir quelles options s’offraient à eux, et que le fait d’avoir acquis une expérience de travail tôt dans leur parcours leur avait permis de constater que certains employeurs peuvent être très solidaires.</w:t>
      </w:r>
    </w:p>
    <w:p w14:paraId="60C4F26C" w14:textId="5AED48EC" w:rsidR="00ED5B89" w:rsidRPr="00CF0C7D" w:rsidRDefault="008A39CF" w:rsidP="00ED5B89">
      <w:pPr>
        <w:rPr>
          <w:rFonts w:eastAsia="Arial" w:cs="Arial"/>
        </w:rPr>
      </w:pPr>
      <w:r w:rsidRPr="00CF0C7D">
        <w:rPr>
          <w:rFonts w:eastAsia="Arial" w:cs="Arial"/>
        </w:rPr>
        <w:t>Cependant, d’autres estimaient que le fait de travailler pendant leurs études les empêchait de participer à des activités qui les auraient aidés dans cette transition :</w:t>
      </w:r>
      <w:r w:rsidR="00ED5B89" w:rsidRPr="00CF0C7D">
        <w:rPr>
          <w:rFonts w:eastAsia="Arial" w:cs="Arial"/>
        </w:rPr>
        <w:t xml:space="preserve"> </w:t>
      </w:r>
    </w:p>
    <w:p w14:paraId="7E94F95D" w14:textId="700F6782" w:rsidR="00ED5B89" w:rsidRPr="00CF0C7D" w:rsidRDefault="00ED5B89" w:rsidP="00ED5B89">
      <w:pPr>
        <w:ind w:left="720"/>
        <w:rPr>
          <w:rFonts w:eastAsia="Arial" w:cs="Arial"/>
        </w:rPr>
      </w:pPr>
      <w:r w:rsidRPr="006769B9">
        <w:rPr>
          <w:rFonts w:eastAsia="Arial" w:cs="Arial"/>
          <w:i/>
          <w:iCs/>
          <w:lang w:val="en-US"/>
        </w:rPr>
        <w:lastRenderedPageBreak/>
        <w:t>"I was like always super busy, so if there was like an event or networking event or mentorship event or some kind of like event where you could, you know, learn or improve or you know build yourself, I would just miss those."</w:t>
      </w:r>
      <w:r w:rsidRPr="006769B9">
        <w:rPr>
          <w:rFonts w:eastAsia="Arial" w:cs="Arial"/>
          <w:lang w:val="en-US"/>
        </w:rPr>
        <w:t xml:space="preserve"> </w:t>
      </w:r>
      <w:r w:rsidRPr="00CF0C7D">
        <w:rPr>
          <w:rFonts w:eastAsia="Arial" w:cs="Arial"/>
        </w:rPr>
        <w:t>(SF01-C03)</w:t>
      </w:r>
    </w:p>
    <w:p w14:paraId="7BC7C1B5" w14:textId="28118B71" w:rsidR="008A39CF" w:rsidRPr="00CF0C7D" w:rsidRDefault="008A39CF" w:rsidP="008A39CF">
      <w:pPr>
        <w:ind w:left="720"/>
        <w:rPr>
          <w:rFonts w:eastAsia="Arial" w:cs="Arial"/>
        </w:rPr>
      </w:pPr>
      <w:r w:rsidRPr="00CF0C7D">
        <w:rPr>
          <w:rFonts w:eastAsia="Arial" w:cs="Arial"/>
        </w:rPr>
        <w:t>[J’étais toujours super occupé, alors s’il y avait un événement, une activité de réseautage, une séance de mentorat ou n’importe quel genre d’activité où on pouvait apprendre, s’améliorer, ou se développer, je ratais tout ça.]</w:t>
      </w:r>
    </w:p>
    <w:p w14:paraId="48C71167" w14:textId="5DAE088A" w:rsidR="008A39CF" w:rsidRPr="00CF0C7D" w:rsidRDefault="008A39CF" w:rsidP="008A39CF">
      <w:pPr>
        <w:rPr>
          <w:rFonts w:eastAsia="Arial" w:cs="Arial"/>
        </w:rPr>
      </w:pPr>
      <w:r w:rsidRPr="00CF0C7D">
        <w:rPr>
          <w:rFonts w:eastAsia="Arial" w:cs="Arial"/>
        </w:rPr>
        <w:t xml:space="preserve">Les expériences négatives vécues sur le marché du travail ont également amené certains participants à douter de la marche à suivre. Ils craignaient que les employeurs ne soient pas aussi accommodants que les écoles. Certains redoutaient que l’inclusion ne soit qu’une façade, ou qu’ils ne soient qu’un « </w:t>
      </w:r>
      <w:r w:rsidR="00C5165A" w:rsidRPr="00C5165A">
        <w:rPr>
          <w:rFonts w:eastAsia="Arial" w:cs="Arial"/>
        </w:rPr>
        <w:t>embauche de façade</w:t>
      </w:r>
      <w:r w:rsidR="00C5165A">
        <w:rPr>
          <w:rFonts w:eastAsia="Arial" w:cs="Arial"/>
        </w:rPr>
        <w:t xml:space="preserve"> </w:t>
      </w:r>
      <w:r w:rsidRPr="00CF0C7D">
        <w:rPr>
          <w:rFonts w:eastAsia="Arial" w:cs="Arial"/>
        </w:rPr>
        <w:t>».</w:t>
      </w:r>
    </w:p>
    <w:p w14:paraId="34CC1493" w14:textId="2C163E9A" w:rsidR="00060370" w:rsidRPr="00CF0C7D" w:rsidRDefault="008A39CF" w:rsidP="00060370">
      <w:pPr>
        <w:pStyle w:val="Heading3"/>
      </w:pPr>
      <w:r w:rsidRPr="00CF0C7D">
        <w:t>Comment les expériences scolaires ont influencé le niveau de préparation</w:t>
      </w:r>
    </w:p>
    <w:p w14:paraId="1D65D227" w14:textId="61E1A18B" w:rsidR="00060370" w:rsidRPr="00CF0C7D" w:rsidRDefault="008A39CF" w:rsidP="00060370">
      <w:pPr>
        <w:rPr>
          <w:rFonts w:eastAsia="Arial" w:cs="Arial"/>
        </w:rPr>
      </w:pPr>
      <w:r w:rsidRPr="00CF0C7D">
        <w:rPr>
          <w:rFonts w:eastAsia="Arial" w:cs="Arial"/>
        </w:rPr>
        <w:t>Quelques participants ont expliqué en quoi l’école avait influencé leur sentiment d’être prêts. Des professeurs accommodants les ont aidés à croire que les employeurs feraient preuve de souplesse. Ils estimaient également que la lourde charge de travail à l’école les avait bien préparés au monde du travail.</w:t>
      </w:r>
    </w:p>
    <w:p w14:paraId="2AA115C8" w14:textId="100A5FFF" w:rsidR="00737872" w:rsidRPr="00CF0C7D" w:rsidRDefault="008A39CF" w:rsidP="00737872">
      <w:pPr>
        <w:pStyle w:val="Heading3"/>
        <w:rPr>
          <w:rFonts w:eastAsia="Arial"/>
        </w:rPr>
      </w:pPr>
      <w:r w:rsidRPr="00CF0C7D">
        <w:rPr>
          <w:rFonts w:eastAsia="Arial"/>
        </w:rPr>
        <w:t>Autres facteurs facilitants</w:t>
      </w:r>
    </w:p>
    <w:p w14:paraId="13321AE6" w14:textId="3E450D10" w:rsidR="00737872" w:rsidRPr="00CF0C7D" w:rsidRDefault="008A39CF" w:rsidP="00060370">
      <w:pPr>
        <w:rPr>
          <w:rFonts w:eastAsia="Arial" w:cs="Arial"/>
        </w:rPr>
      </w:pPr>
      <w:r w:rsidRPr="00CF0C7D">
        <w:t>Pour ceux qui ont eu accès à des prestations gouvernementales et/ou à des ressources financières, les principaux impacts observés se sont manifestés pendant leurs études; plus précisément, les bourses les ont aidés à acheter de la technologie d’assistance ou ont couvert en partie les frais de scolarité. Aucun participant n’a indiqué que ces ressources l’avaient aidé dans sa recherche d’emploi. De même, parmi ceux qui ont eu recours à des ressources communautaires, la plupart n’ont pas estimé que celles-ci avaient eu un impact significatif sur leur recherche d’emploi; toutefois, un participant a spécifiquement trouvé que le soutien de son YMCA local lui avait été utile pour entrer en contact avec des employeurs, et un autre a décrit un programme offert par son établissement d’enseignement qui l’avait aidé à développer des compétences pour surmonter les obstacles liés à son handicap.</w:t>
      </w:r>
    </w:p>
    <w:p w14:paraId="2E92E751" w14:textId="524B15B0" w:rsidR="006367D1" w:rsidRPr="00CF0C7D" w:rsidRDefault="008A39CF" w:rsidP="00E537FF">
      <w:pPr>
        <w:pStyle w:val="Heading2"/>
      </w:pPr>
      <w:bookmarkStart w:id="20" w:name="_Toc233210514"/>
      <w:r w:rsidRPr="00CF0C7D">
        <w:t>Utilité des ressources académiques</w:t>
      </w:r>
      <w:bookmarkEnd w:id="20"/>
    </w:p>
    <w:p w14:paraId="05D91B77" w14:textId="7BE4DCBA" w:rsidR="00A5658C" w:rsidRPr="00CF0C7D" w:rsidRDefault="008A39CF" w:rsidP="00A5658C">
      <w:r w:rsidRPr="00CF0C7D">
        <w:t xml:space="preserve">Afin d’explorer la question 4 portant sur le sentiment de préparation des </w:t>
      </w:r>
      <w:r w:rsidR="0045247B">
        <w:t>étudiants en situation de handicap</w:t>
      </w:r>
      <w:r w:rsidRPr="00CF0C7D">
        <w:t xml:space="preserve"> à la recherche d’emploi après avoir utilisé les services et les ressources de leur établissement d’enseignement postsecondaire – ainsi que sur l’accessibilité de ces pratiques –, les données des groupes de discussion ont été analysées pour identifier des thèmes.</w:t>
      </w:r>
    </w:p>
    <w:p w14:paraId="763752F9" w14:textId="5BAE8323" w:rsidR="00940F6E" w:rsidRPr="00CF0C7D" w:rsidRDefault="008A39CF" w:rsidP="00940F6E">
      <w:r w:rsidRPr="00CF0C7D">
        <w:t>Selon nos participants, leur établissement offrait de nombreux services pour faciliter la transition de l’école au marché du travail :</w:t>
      </w:r>
    </w:p>
    <w:p w14:paraId="39BD6BB8" w14:textId="1FA667F6" w:rsidR="008A39CF" w:rsidRPr="00CF0C7D" w:rsidRDefault="008A39CF">
      <w:pPr>
        <w:pStyle w:val="ListParagraph"/>
        <w:numPr>
          <w:ilvl w:val="0"/>
          <w:numId w:val="15"/>
        </w:numPr>
        <w:rPr>
          <w:lang w:val="fr-CA"/>
        </w:rPr>
      </w:pPr>
      <w:r w:rsidRPr="00CF0C7D">
        <w:rPr>
          <w:lang w:val="fr-CA"/>
        </w:rPr>
        <w:t>Réseautage avec des pairs ou des anciens étudiants</w:t>
      </w:r>
    </w:p>
    <w:p w14:paraId="32DA3C40" w14:textId="5665CBC1" w:rsidR="008A39CF" w:rsidRPr="00CF0C7D" w:rsidRDefault="008A39CF">
      <w:pPr>
        <w:pStyle w:val="ListParagraph"/>
        <w:numPr>
          <w:ilvl w:val="0"/>
          <w:numId w:val="15"/>
        </w:numPr>
        <w:rPr>
          <w:lang w:val="fr-CA"/>
        </w:rPr>
      </w:pPr>
      <w:r w:rsidRPr="00CF0C7D">
        <w:rPr>
          <w:lang w:val="fr-CA"/>
        </w:rPr>
        <w:t>Mentorat</w:t>
      </w:r>
    </w:p>
    <w:p w14:paraId="794624E2" w14:textId="4BE92134" w:rsidR="008A39CF" w:rsidRPr="00CF0C7D" w:rsidRDefault="008A39CF">
      <w:pPr>
        <w:pStyle w:val="ListParagraph"/>
        <w:numPr>
          <w:ilvl w:val="0"/>
          <w:numId w:val="15"/>
        </w:numPr>
        <w:rPr>
          <w:lang w:val="fr-CA"/>
        </w:rPr>
      </w:pPr>
      <w:r w:rsidRPr="00CF0C7D">
        <w:rPr>
          <w:lang w:val="fr-CA"/>
        </w:rPr>
        <w:t>Programmes coopératifs, stages et/ou programmes de travail pour étudiants</w:t>
      </w:r>
    </w:p>
    <w:p w14:paraId="1301F6CD" w14:textId="5BAA489E" w:rsidR="008A39CF" w:rsidRPr="00CF0C7D" w:rsidRDefault="008A39CF">
      <w:pPr>
        <w:pStyle w:val="ListParagraph"/>
        <w:numPr>
          <w:ilvl w:val="0"/>
          <w:numId w:val="15"/>
        </w:numPr>
        <w:rPr>
          <w:lang w:val="fr-CA"/>
        </w:rPr>
      </w:pPr>
      <w:r w:rsidRPr="00CF0C7D">
        <w:rPr>
          <w:lang w:val="fr-CA"/>
        </w:rPr>
        <w:t>Observation au travail</w:t>
      </w:r>
    </w:p>
    <w:p w14:paraId="4D65E453" w14:textId="2828F515" w:rsidR="008A39CF" w:rsidRPr="00CF0C7D" w:rsidRDefault="008A39CF">
      <w:pPr>
        <w:pStyle w:val="ListParagraph"/>
        <w:numPr>
          <w:ilvl w:val="0"/>
          <w:numId w:val="15"/>
        </w:numPr>
        <w:rPr>
          <w:lang w:val="fr-CA"/>
        </w:rPr>
      </w:pPr>
      <w:r w:rsidRPr="00CF0C7D">
        <w:rPr>
          <w:lang w:val="fr-CA"/>
        </w:rPr>
        <w:t>Conférences données par des invités</w:t>
      </w:r>
    </w:p>
    <w:p w14:paraId="58F5136D" w14:textId="06BC4EC1" w:rsidR="008A39CF" w:rsidRPr="00CF0C7D" w:rsidRDefault="008A39CF">
      <w:pPr>
        <w:pStyle w:val="ListParagraph"/>
        <w:numPr>
          <w:ilvl w:val="0"/>
          <w:numId w:val="15"/>
        </w:numPr>
        <w:rPr>
          <w:lang w:val="fr-CA"/>
        </w:rPr>
      </w:pPr>
      <w:r w:rsidRPr="00CF0C7D">
        <w:rPr>
          <w:lang w:val="fr-CA"/>
        </w:rPr>
        <w:t>Contenu de cours axé sur la carrière</w:t>
      </w:r>
    </w:p>
    <w:p w14:paraId="4CF71D2E" w14:textId="34A127EC" w:rsidR="008A39CF" w:rsidRPr="00CF0C7D" w:rsidRDefault="008A39CF">
      <w:pPr>
        <w:pStyle w:val="ListParagraph"/>
        <w:numPr>
          <w:ilvl w:val="0"/>
          <w:numId w:val="15"/>
        </w:numPr>
        <w:rPr>
          <w:lang w:val="fr-CA"/>
        </w:rPr>
      </w:pPr>
      <w:r w:rsidRPr="00CF0C7D">
        <w:rPr>
          <w:lang w:val="fr-CA"/>
        </w:rPr>
        <w:t>Ateliers sur la rédaction de CV</w:t>
      </w:r>
    </w:p>
    <w:p w14:paraId="3F274CB8" w14:textId="61EABE6B" w:rsidR="008A39CF" w:rsidRPr="00CF0C7D" w:rsidRDefault="008A39CF">
      <w:pPr>
        <w:pStyle w:val="ListParagraph"/>
        <w:numPr>
          <w:ilvl w:val="0"/>
          <w:numId w:val="15"/>
        </w:numPr>
        <w:rPr>
          <w:lang w:val="fr-CA"/>
        </w:rPr>
      </w:pPr>
      <w:r w:rsidRPr="00CF0C7D">
        <w:rPr>
          <w:lang w:val="fr-CA"/>
        </w:rPr>
        <w:t>Préparation aux entrevues</w:t>
      </w:r>
    </w:p>
    <w:p w14:paraId="61B714F8" w14:textId="15295F5A" w:rsidR="008A39CF" w:rsidRPr="00CF0C7D" w:rsidRDefault="008A39CF">
      <w:pPr>
        <w:pStyle w:val="ListParagraph"/>
        <w:numPr>
          <w:ilvl w:val="0"/>
          <w:numId w:val="15"/>
        </w:numPr>
        <w:rPr>
          <w:lang w:val="fr-CA"/>
        </w:rPr>
      </w:pPr>
      <w:r w:rsidRPr="00CF0C7D">
        <w:rPr>
          <w:lang w:val="fr-CA"/>
        </w:rPr>
        <w:t xml:space="preserve">Soutien à la recherche d’emploi </w:t>
      </w:r>
    </w:p>
    <w:p w14:paraId="33C0C110" w14:textId="438497E7" w:rsidR="008A39CF" w:rsidRPr="00CF0C7D" w:rsidRDefault="008A39CF">
      <w:pPr>
        <w:pStyle w:val="ListParagraph"/>
        <w:numPr>
          <w:ilvl w:val="0"/>
          <w:numId w:val="15"/>
        </w:numPr>
        <w:rPr>
          <w:lang w:val="fr-CA"/>
        </w:rPr>
      </w:pPr>
      <w:r w:rsidRPr="00CF0C7D">
        <w:rPr>
          <w:lang w:val="fr-CA"/>
        </w:rPr>
        <w:t>Salons de l’emploi</w:t>
      </w:r>
    </w:p>
    <w:p w14:paraId="5455E4F7" w14:textId="41CA573F" w:rsidR="00940F6E" w:rsidRPr="00CF0C7D" w:rsidRDefault="008A39CF" w:rsidP="00940F6E">
      <w:r w:rsidRPr="00CF0C7D">
        <w:lastRenderedPageBreak/>
        <w:t>Quelques participants ont commenté la publicité faite autour des événements d’aide à l’orientation professionnelle, et leurs avis quant à la qualité de cette communication étaient mitigés. Deux ou trois participants ont indiqué qu’ils n’étaient pas au courant des services qui leur étaient offerts, ou qu’ils étaient trop occupés pour les solliciter. Certains hésitaient à recourir à ces services, craignant qu’ils ne leur soient d’aucune utilité.</w:t>
      </w:r>
    </w:p>
    <w:p w14:paraId="7E3DB384" w14:textId="3DB34292" w:rsidR="00940F6E" w:rsidRPr="00CF0C7D" w:rsidRDefault="008A39CF" w:rsidP="00940F6E">
      <w:r w:rsidRPr="00CF0C7D">
        <w:t>Les participants ont également fait part de leur perception quant à l’utilité des services d’orientation professionnelle de leur établissement, avec des avis mitigés. Les évaluations positives de leur efficacité soulignaient l’accessibilité des événements de réseautage professionnel. Les évaluations négatives mettaient en avant une mauvaise coordination des services entre les employeurs et les étudiants, un manque de soutien spécifique à certains domaines et des événements inaccessibles. Certains estimaient que la qualité de certains soutiens, comme l’aide à la rédaction de CV, n’était pas meilleure que celle des ressources similaires disponibles en ligne.</w:t>
      </w:r>
    </w:p>
    <w:p w14:paraId="59A5CD2D" w14:textId="5297A56F" w:rsidR="00940F6E" w:rsidRPr="00CF0C7D" w:rsidRDefault="00592D62" w:rsidP="00940F6E">
      <w:pPr>
        <w:pStyle w:val="Heading3"/>
      </w:pPr>
      <w:r w:rsidRPr="00CF0C7D">
        <w:t>Services d’accessibilité dans les établissements d’enseignement postsecondaire</w:t>
      </w:r>
    </w:p>
    <w:p w14:paraId="48BD2950" w14:textId="67A2660F" w:rsidR="00940F6E" w:rsidRPr="00CF0C7D" w:rsidRDefault="008A2C83" w:rsidP="00940F6E">
      <w:r w:rsidRPr="00CF0C7D">
        <w:t>Les participants ont discuté de la manière dont ils étaient soutenus en tant qu’</w:t>
      </w:r>
      <w:r w:rsidR="0045247B">
        <w:t>étudiants en situation de handicap</w:t>
      </w:r>
      <w:r w:rsidRPr="00CF0C7D">
        <w:t xml:space="preserve"> au sein de leur établissement d’enseignement postsecondaire, décrivant les mesures d’adaptation offertes par les services d’accessibilité</w:t>
      </w:r>
      <w:r w:rsidR="0090215C" w:rsidRPr="00CF0C7D">
        <w:t xml:space="preserve"> (SA)</w:t>
      </w:r>
      <w:r w:rsidRPr="00CF0C7D">
        <w:t xml:space="preserve"> aux étudiants et les stratégies qu’ils utilisaient lorsque ces services s’avéraient insuffisants.</w:t>
      </w:r>
    </w:p>
    <w:p w14:paraId="1BE6C678" w14:textId="24FB60FA" w:rsidR="00940F6E" w:rsidRPr="00CF0C7D" w:rsidRDefault="0090215C" w:rsidP="00940F6E">
      <w:pPr>
        <w:pStyle w:val="Heading4"/>
      </w:pPr>
      <w:r w:rsidRPr="00CF0C7D">
        <w:t>Mesures d’adaptation offertes par les SA</w:t>
      </w:r>
    </w:p>
    <w:p w14:paraId="7F58AC5A" w14:textId="07E8425A" w:rsidR="00940F6E" w:rsidRPr="00CF0C7D" w:rsidRDefault="0090215C" w:rsidP="00940F6E">
      <w:r w:rsidRPr="00CF0C7D">
        <w:t>Les participants ont décrit de nombreuses mesures d’adaptation ou équipements auxquels ils avaient accès par l’intermédiaire des SA, notamment :</w:t>
      </w:r>
    </w:p>
    <w:p w14:paraId="5F00A78B" w14:textId="2BDE9E04" w:rsidR="0090215C" w:rsidRPr="00CF0C7D" w:rsidRDefault="0090215C">
      <w:pPr>
        <w:pStyle w:val="ListParagraph"/>
        <w:numPr>
          <w:ilvl w:val="0"/>
          <w:numId w:val="16"/>
        </w:numPr>
        <w:rPr>
          <w:lang w:val="fr-CA"/>
        </w:rPr>
      </w:pPr>
      <w:r w:rsidRPr="00CF0C7D">
        <w:rPr>
          <w:lang w:val="fr-CA"/>
        </w:rPr>
        <w:t>Preneurs de notes</w:t>
      </w:r>
    </w:p>
    <w:p w14:paraId="372870B7" w14:textId="367F1DB5" w:rsidR="0090215C" w:rsidRPr="00CF0C7D" w:rsidRDefault="0090215C">
      <w:pPr>
        <w:pStyle w:val="ListParagraph"/>
        <w:numPr>
          <w:ilvl w:val="0"/>
          <w:numId w:val="16"/>
        </w:numPr>
        <w:rPr>
          <w:lang w:val="fr-CA"/>
        </w:rPr>
      </w:pPr>
      <w:r w:rsidRPr="00CF0C7D">
        <w:rPr>
          <w:lang w:val="fr-CA"/>
        </w:rPr>
        <w:t>Espace séparé pour passer les examens</w:t>
      </w:r>
    </w:p>
    <w:p w14:paraId="2578E191" w14:textId="4999F18B" w:rsidR="0090215C" w:rsidRPr="00CF0C7D" w:rsidRDefault="0090215C">
      <w:pPr>
        <w:pStyle w:val="ListParagraph"/>
        <w:numPr>
          <w:ilvl w:val="0"/>
          <w:numId w:val="16"/>
        </w:numPr>
        <w:rPr>
          <w:lang w:val="fr-CA"/>
        </w:rPr>
      </w:pPr>
      <w:r w:rsidRPr="00CF0C7D">
        <w:rPr>
          <w:lang w:val="fr-CA"/>
        </w:rPr>
        <w:t>Temps supplémentaire pour les examens</w:t>
      </w:r>
    </w:p>
    <w:p w14:paraId="29723D49" w14:textId="2E696595" w:rsidR="0090215C" w:rsidRPr="00CF0C7D" w:rsidRDefault="0090215C">
      <w:pPr>
        <w:pStyle w:val="ListParagraph"/>
        <w:numPr>
          <w:ilvl w:val="0"/>
          <w:numId w:val="16"/>
        </w:numPr>
        <w:rPr>
          <w:lang w:val="fr-CA"/>
        </w:rPr>
      </w:pPr>
      <w:r w:rsidRPr="00CF0C7D">
        <w:rPr>
          <w:lang w:val="fr-CA"/>
        </w:rPr>
        <w:t>Bureau assis-debout</w:t>
      </w:r>
    </w:p>
    <w:p w14:paraId="1EA5E98C" w14:textId="57F4F854" w:rsidR="0090215C" w:rsidRPr="00CF0C7D" w:rsidRDefault="0090215C">
      <w:pPr>
        <w:pStyle w:val="ListParagraph"/>
        <w:numPr>
          <w:ilvl w:val="0"/>
          <w:numId w:val="16"/>
        </w:numPr>
        <w:rPr>
          <w:lang w:val="fr-CA"/>
        </w:rPr>
      </w:pPr>
      <w:r w:rsidRPr="00CF0C7D">
        <w:rPr>
          <w:lang w:val="fr-CA"/>
        </w:rPr>
        <w:t>Chaises rembourrées</w:t>
      </w:r>
    </w:p>
    <w:p w14:paraId="5DFD5309" w14:textId="4C0C4A17" w:rsidR="0090215C" w:rsidRPr="00CF0C7D" w:rsidRDefault="0090215C">
      <w:pPr>
        <w:pStyle w:val="ListParagraph"/>
        <w:numPr>
          <w:ilvl w:val="0"/>
          <w:numId w:val="16"/>
        </w:numPr>
        <w:rPr>
          <w:lang w:val="fr-CA"/>
        </w:rPr>
      </w:pPr>
      <w:r w:rsidRPr="00CF0C7D">
        <w:rPr>
          <w:lang w:val="fr-CA"/>
        </w:rPr>
        <w:t>Utilisation d’un ordinateur portable</w:t>
      </w:r>
    </w:p>
    <w:p w14:paraId="5A675C6E" w14:textId="6007C489" w:rsidR="0090215C" w:rsidRPr="00CF0C7D" w:rsidRDefault="0090215C">
      <w:pPr>
        <w:pStyle w:val="ListParagraph"/>
        <w:numPr>
          <w:ilvl w:val="0"/>
          <w:numId w:val="16"/>
        </w:numPr>
        <w:rPr>
          <w:lang w:val="fr-CA"/>
        </w:rPr>
      </w:pPr>
      <w:r w:rsidRPr="00CF0C7D">
        <w:rPr>
          <w:lang w:val="fr-CA"/>
        </w:rPr>
        <w:t>Utilisation d’écouteurs</w:t>
      </w:r>
    </w:p>
    <w:p w14:paraId="4A51D1D6" w14:textId="71AF25EE" w:rsidR="0090215C" w:rsidRPr="00CF0C7D" w:rsidRDefault="0090215C">
      <w:pPr>
        <w:pStyle w:val="ListParagraph"/>
        <w:numPr>
          <w:ilvl w:val="0"/>
          <w:numId w:val="16"/>
        </w:numPr>
        <w:rPr>
          <w:lang w:val="fr-CA"/>
        </w:rPr>
      </w:pPr>
      <w:r w:rsidRPr="00CF0C7D">
        <w:rPr>
          <w:lang w:val="fr-CA"/>
        </w:rPr>
        <w:t>Modes alternatifs de présentation</w:t>
      </w:r>
    </w:p>
    <w:p w14:paraId="3FEBCB78" w14:textId="5247461D" w:rsidR="0090215C" w:rsidRPr="00CF0C7D" w:rsidRDefault="0090215C">
      <w:pPr>
        <w:pStyle w:val="ListParagraph"/>
        <w:numPr>
          <w:ilvl w:val="0"/>
          <w:numId w:val="16"/>
        </w:numPr>
        <w:rPr>
          <w:lang w:val="fr-CA"/>
        </w:rPr>
      </w:pPr>
      <w:r w:rsidRPr="00CF0C7D">
        <w:rPr>
          <w:lang w:val="fr-CA"/>
        </w:rPr>
        <w:t>Accès à un système FM</w:t>
      </w:r>
    </w:p>
    <w:p w14:paraId="53E9946F" w14:textId="5867E19C" w:rsidR="0090215C" w:rsidRPr="00CF0C7D" w:rsidRDefault="0090215C">
      <w:pPr>
        <w:pStyle w:val="ListParagraph"/>
        <w:numPr>
          <w:ilvl w:val="0"/>
          <w:numId w:val="16"/>
        </w:numPr>
        <w:rPr>
          <w:lang w:val="fr-CA"/>
        </w:rPr>
      </w:pPr>
      <w:r w:rsidRPr="00CF0C7D">
        <w:rPr>
          <w:lang w:val="fr-CA"/>
        </w:rPr>
        <w:t xml:space="preserve">Accès à des tuteurs </w:t>
      </w:r>
    </w:p>
    <w:p w14:paraId="64CF0FB7" w14:textId="5972104D" w:rsidR="0090215C" w:rsidRPr="00CF0C7D" w:rsidRDefault="0090215C">
      <w:pPr>
        <w:pStyle w:val="ListParagraph"/>
        <w:numPr>
          <w:ilvl w:val="0"/>
          <w:numId w:val="16"/>
        </w:numPr>
        <w:rPr>
          <w:lang w:val="fr-CA"/>
        </w:rPr>
      </w:pPr>
      <w:r w:rsidRPr="00CF0C7D">
        <w:rPr>
          <w:lang w:val="fr-CA"/>
        </w:rPr>
        <w:t>Services offerts par les SA</w:t>
      </w:r>
    </w:p>
    <w:p w14:paraId="064F4CB9" w14:textId="0E3C0F7A" w:rsidR="00940F6E" w:rsidRPr="00CF0C7D" w:rsidRDefault="0090215C" w:rsidP="00940F6E">
      <w:r w:rsidRPr="00CF0C7D">
        <w:t>Outre la mise à disposition d’aménagements ou d’équipements, les participants ont décrit d’autres façons dont les SA ont favorisé leur inclusion en tant qu’</w:t>
      </w:r>
      <w:r w:rsidR="0045247B">
        <w:t>étudiants en situation de handicap</w:t>
      </w:r>
      <w:r w:rsidRPr="00CF0C7D">
        <w:t>, notamment :</w:t>
      </w:r>
    </w:p>
    <w:p w14:paraId="32A83F1D" w14:textId="75880A17" w:rsidR="0090215C" w:rsidRPr="00CF0C7D" w:rsidRDefault="0090215C">
      <w:pPr>
        <w:pStyle w:val="ListParagraph"/>
        <w:numPr>
          <w:ilvl w:val="0"/>
          <w:numId w:val="17"/>
        </w:numPr>
        <w:rPr>
          <w:lang w:val="fr-CA"/>
        </w:rPr>
      </w:pPr>
      <w:r w:rsidRPr="00CF0C7D">
        <w:rPr>
          <w:lang w:val="fr-CA"/>
        </w:rPr>
        <w:t>Aide à la présentation de demandes de subventions pour personnes en situation de handicap</w:t>
      </w:r>
    </w:p>
    <w:p w14:paraId="7B8A1D3D" w14:textId="55396CD9" w:rsidR="0090215C" w:rsidRPr="00CF0C7D" w:rsidRDefault="0090215C">
      <w:pPr>
        <w:pStyle w:val="ListParagraph"/>
        <w:numPr>
          <w:ilvl w:val="0"/>
          <w:numId w:val="17"/>
        </w:numPr>
        <w:rPr>
          <w:lang w:val="fr-CA"/>
        </w:rPr>
      </w:pPr>
      <w:r w:rsidRPr="00CF0C7D">
        <w:rPr>
          <w:lang w:val="fr-CA"/>
        </w:rPr>
        <w:t>Création d’occasions de réseautage avec d’autres étudiants en situation de handicap</w:t>
      </w:r>
    </w:p>
    <w:p w14:paraId="7C90A7F7" w14:textId="20266EE9" w:rsidR="0090215C" w:rsidRPr="00CF0C7D" w:rsidRDefault="0090215C">
      <w:pPr>
        <w:pStyle w:val="ListParagraph"/>
        <w:numPr>
          <w:ilvl w:val="0"/>
          <w:numId w:val="17"/>
        </w:numPr>
        <w:rPr>
          <w:lang w:val="fr-CA"/>
        </w:rPr>
      </w:pPr>
      <w:r w:rsidRPr="00CF0C7D">
        <w:rPr>
          <w:lang w:val="fr-CA"/>
        </w:rPr>
        <w:t>Coordination avec les étudiants et les employeurs pour l’emploi sur le campus</w:t>
      </w:r>
    </w:p>
    <w:p w14:paraId="5488A3D8" w14:textId="7D79ACC5" w:rsidR="0090215C" w:rsidRPr="00CF0C7D" w:rsidRDefault="0090215C">
      <w:pPr>
        <w:pStyle w:val="ListParagraph"/>
        <w:numPr>
          <w:ilvl w:val="0"/>
          <w:numId w:val="17"/>
        </w:numPr>
        <w:rPr>
          <w:lang w:val="fr-CA"/>
        </w:rPr>
      </w:pPr>
      <w:r w:rsidRPr="00CF0C7D">
        <w:rPr>
          <w:lang w:val="fr-CA"/>
        </w:rPr>
        <w:t>Offre d’accompagnement individuel</w:t>
      </w:r>
    </w:p>
    <w:p w14:paraId="19026BB7" w14:textId="0BE84ACA" w:rsidR="0090215C" w:rsidRPr="00CF0C7D" w:rsidRDefault="0090215C">
      <w:pPr>
        <w:pStyle w:val="ListParagraph"/>
        <w:numPr>
          <w:ilvl w:val="0"/>
          <w:numId w:val="17"/>
        </w:numPr>
        <w:rPr>
          <w:lang w:val="fr-CA"/>
        </w:rPr>
      </w:pPr>
      <w:r w:rsidRPr="00CF0C7D">
        <w:rPr>
          <w:lang w:val="fr-CA"/>
        </w:rPr>
        <w:t xml:space="preserve">Défense des droits (notamment lorsque les professeurs refusent ou s’opposent aux mesures d’adaptation) </w:t>
      </w:r>
    </w:p>
    <w:p w14:paraId="6187420A" w14:textId="6989E772" w:rsidR="0090215C" w:rsidRPr="00CF0C7D" w:rsidRDefault="0090215C">
      <w:pPr>
        <w:pStyle w:val="ListParagraph"/>
        <w:numPr>
          <w:ilvl w:val="0"/>
          <w:numId w:val="17"/>
        </w:numPr>
        <w:rPr>
          <w:lang w:val="fr-CA"/>
        </w:rPr>
      </w:pPr>
      <w:r w:rsidRPr="00CF0C7D">
        <w:rPr>
          <w:lang w:val="fr-CA"/>
        </w:rPr>
        <w:t>Offre de soutien à la carrière</w:t>
      </w:r>
    </w:p>
    <w:p w14:paraId="7B1C6E4A" w14:textId="1775AC7F" w:rsidR="00940F6E" w:rsidRPr="00CF0C7D" w:rsidRDefault="0090215C" w:rsidP="00940F6E">
      <w:pPr>
        <w:pStyle w:val="Heading4"/>
      </w:pPr>
      <w:r w:rsidRPr="00CF0C7D">
        <w:lastRenderedPageBreak/>
        <w:t>Perceptions de la qualité des services du SA</w:t>
      </w:r>
    </w:p>
    <w:p w14:paraId="58C6D321" w14:textId="7F7B0025" w:rsidR="00940F6E" w:rsidRPr="00CF0C7D" w:rsidRDefault="0090215C" w:rsidP="00940F6E">
      <w:r w:rsidRPr="00CF0C7D">
        <w:t>Les participants ont également mentionné des défis liés aux services offerts par le SA. Par exemple, l’un d’entre eux a expliqué que la prise de notes n’était pas toujours offerte si aucun étudiant ne se portait volontaire pour prendre des notes, et que la qualité des notes était médiocre. Certains ont déclaré que les mesures d’adaptation constituaient une solution de fortune qui ne contribuait guère à créer un environnement accessible. En raison de ces difficultés, un participant était réticent à recourir au SA, estimant que les services ne lui seraient d’aucune utilité.</w:t>
      </w:r>
    </w:p>
    <w:p w14:paraId="784CF766" w14:textId="3573BE7F" w:rsidR="00481CC7" w:rsidRPr="00CF0C7D" w:rsidRDefault="0090215C" w:rsidP="00426C5E">
      <w:r w:rsidRPr="00CF0C7D">
        <w:t>Quelques participants ont eu recours à des stratégies individuelles plutôt que de faire appel au SAS, notamment en s’asseyant près des professeurs pour mieux entendre, et en faisant valoir eux-mêmes leurs besoins en tête-à-tête avec leur professeur plutôt que par l’intermédiaire du SA</w:t>
      </w:r>
      <w:r w:rsidR="00481CC7" w:rsidRPr="00CF0C7D">
        <w:t>.</w:t>
      </w:r>
    </w:p>
    <w:p w14:paraId="3067AAD5" w14:textId="6BF08B13" w:rsidR="00940F6E" w:rsidRPr="00CF0C7D" w:rsidRDefault="0090215C" w:rsidP="00940F6E">
      <w:pPr>
        <w:pStyle w:val="Heading3"/>
      </w:pPr>
      <w:r w:rsidRPr="00CF0C7D">
        <w:t>L’inclusion dans les établissements d’enseignement postsecondaire</w:t>
      </w:r>
    </w:p>
    <w:p w14:paraId="14117E3B" w14:textId="254491AC" w:rsidR="00940F6E" w:rsidRPr="00CF0C7D" w:rsidRDefault="0090215C" w:rsidP="00940F6E">
      <w:pPr>
        <w:pStyle w:val="Heading4"/>
      </w:pPr>
      <w:r w:rsidRPr="00CF0C7D">
        <w:t>Clubs, espaces et activités</w:t>
      </w:r>
    </w:p>
    <w:p w14:paraId="7E245088" w14:textId="5ABA06DB" w:rsidR="00940F6E" w:rsidRPr="00CF0C7D" w:rsidRDefault="0090215C" w:rsidP="00940F6E">
      <w:r w:rsidRPr="00CF0C7D">
        <w:t>Les collèges et universités des participants comptaient généralement des clubs, des espaces et des activités dirigés par des étudiants, axés sur des intérêts et des identités communs, tels que le sport, les STIM, les groupes religieux, la communauté 2SLGBTQIAA+ et les identités afro-canadiennes. Ces initiatives étaient mises en avant par le biais des programmes de cours, des classes, des programmes d’études, des partenariats communautaires, des courriels et des affiches, ce qui renforçait une atmosphère inclusive.</w:t>
      </w:r>
    </w:p>
    <w:p w14:paraId="4B72B97D" w14:textId="77777777" w:rsidR="0090215C" w:rsidRPr="00CF0C7D" w:rsidRDefault="0090215C" w:rsidP="00940F6E">
      <w:r w:rsidRPr="00CF0C7D">
        <w:t>Certains clubs, espaces et activités étaient accessibles et tenaient compte des spécificités culturelles. Plusieurs participants ont mentionné des environnements accueillants, tels que des espaces de prière, un aménagement intérieur inspiré de la nature et des œuvres d’art murales créées par les étudiants. Le campus d’un participant offrait un espace commun confortable et tranquille où des personnes de divers horizons pouvaient interagir entre elles. Un participant noir a apprécié de pouvoir explorer son identité sans se sentir restreint :</w:t>
      </w:r>
      <w:r w:rsidR="00940F6E" w:rsidRPr="00CF0C7D">
        <w:t xml:space="preserve"> </w:t>
      </w:r>
    </w:p>
    <w:p w14:paraId="52326CF6" w14:textId="0CEC00AE" w:rsidR="00940F6E" w:rsidRPr="00CF0C7D" w:rsidRDefault="00940F6E" w:rsidP="0090215C">
      <w:pPr>
        <w:ind w:left="720"/>
      </w:pPr>
      <w:r w:rsidRPr="006769B9">
        <w:rPr>
          <w:i/>
          <w:iCs/>
          <w:lang w:val="en-US"/>
        </w:rPr>
        <w:t>“I would see a diverse culture being set up and I don’t feel limited or boxed in by being Black because, for example, I know there’s like an Afro</w:t>
      </w:r>
      <w:r w:rsidR="00E24266" w:rsidRPr="006769B9">
        <w:rPr>
          <w:i/>
          <w:iCs/>
          <w:lang w:val="en-US"/>
        </w:rPr>
        <w:t>-</w:t>
      </w:r>
      <w:r w:rsidRPr="006769B9">
        <w:rPr>
          <w:i/>
          <w:iCs/>
          <w:lang w:val="en-US"/>
        </w:rPr>
        <w:t>descent club versus a Caribbean club</w:t>
      </w:r>
      <w:r w:rsidR="0090215C" w:rsidRPr="006769B9">
        <w:rPr>
          <w:i/>
          <w:iCs/>
          <w:lang w:val="en-US"/>
        </w:rPr>
        <w:t>.</w:t>
      </w:r>
      <w:r w:rsidRPr="006769B9">
        <w:rPr>
          <w:i/>
          <w:iCs/>
          <w:lang w:val="en-US"/>
        </w:rPr>
        <w:t>”</w:t>
      </w:r>
      <w:r w:rsidRPr="006769B9">
        <w:rPr>
          <w:lang w:val="en-US"/>
        </w:rPr>
        <w:t xml:space="preserve"> </w:t>
      </w:r>
      <w:r w:rsidRPr="00CF0C7D">
        <w:t>(SF04-C01)</w:t>
      </w:r>
    </w:p>
    <w:p w14:paraId="1C6FA9C3" w14:textId="65C00461" w:rsidR="0090215C" w:rsidRPr="00CF0C7D" w:rsidRDefault="0090215C" w:rsidP="0090215C">
      <w:pPr>
        <w:ind w:left="720"/>
      </w:pPr>
      <w:r w:rsidRPr="00CF0C7D">
        <w:t>[Je voyais une culture diversifiée se mettre en place et je ne me sens pas limité ou enfermé dans une case parce que je suis noir, car, par exemple, je sais qu’il y a un club d’ascendance africaine par opposition à un club caribéen.]</w:t>
      </w:r>
    </w:p>
    <w:p w14:paraId="738B076F" w14:textId="2389CD54" w:rsidR="00940F6E" w:rsidRPr="00CF0C7D" w:rsidRDefault="0090215C" w:rsidP="00940F6E">
      <w:r w:rsidRPr="00CF0C7D">
        <w:t xml:space="preserve">Cependant, des lacunes ont été relevées, notamment la taille écrasante des établissements et les engagements exigés, le manque de clubs pour les secteurs non liés aux STIM, l’incapacité à reconnaître des identités culturellement distinctes (p. ex., les musulmans d’Asie du Sud par opposition aux musulmans du Moyen-Orient), la stigmatisation liée aux </w:t>
      </w:r>
      <w:r w:rsidR="00E74A8A">
        <w:t>handicaps liés à la santé mentale</w:t>
      </w:r>
      <w:r w:rsidRPr="00CF0C7D">
        <w:t xml:space="preserve">, le soutien limité aux étudiants immigrants </w:t>
      </w:r>
      <w:r w:rsidR="0045247B">
        <w:t>en situation de handicap</w:t>
      </w:r>
      <w:r w:rsidRPr="00CF0C7D">
        <w:t>, des programmes incohérents, des sororités qui ne sont ni sécuritaires ni adaptées aux traumatismes, des services de counseling minimaux, des salles de classe traditionnelles et une conception architecturale austère créant un sentiment d’isolement.</w:t>
      </w:r>
    </w:p>
    <w:p w14:paraId="37A92702" w14:textId="3D26F0C1" w:rsidR="00940F6E" w:rsidRPr="00CF0C7D" w:rsidRDefault="0090215C" w:rsidP="00940F6E">
      <w:pPr>
        <w:pStyle w:val="Heading4"/>
      </w:pPr>
      <w:r w:rsidRPr="00CF0C7D">
        <w:t>Cours et corps professoral</w:t>
      </w:r>
    </w:p>
    <w:p w14:paraId="6F4A50F7" w14:textId="31478F4A" w:rsidR="00940F6E" w:rsidRPr="00CF0C7D" w:rsidRDefault="00827625" w:rsidP="00940F6E">
      <w:r w:rsidRPr="00CF0C7D">
        <w:t xml:space="preserve">Les participants ont pris part à des discussions sur l’intersectionnalité et ont interagi avec des personnes d’horizons divers dans le cadre de leurs cours, ce qui a favorisé l’exploration de l’identité et l’inclusivité. Par exemple, les cours d’anglais ont permis à un participant « d’explorer beaucoup plus de choses, comme la </w:t>
      </w:r>
      <w:r w:rsidR="006F2E7D" w:rsidRPr="006F2E7D">
        <w:t>«</w:t>
      </w:r>
      <w:r w:rsidR="006F2E7D">
        <w:t xml:space="preserve"> </w:t>
      </w:r>
      <w:r w:rsidR="00E74A8A">
        <w:t>queerness</w:t>
      </w:r>
      <w:r w:rsidR="006F2E7D" w:rsidRPr="006F2E7D">
        <w:t xml:space="preserve"> »</w:t>
      </w:r>
      <w:r w:rsidRPr="00CF0C7D">
        <w:t>, la race et l’ethnicité » [</w:t>
      </w:r>
      <w:r w:rsidR="00940F6E" w:rsidRPr="00CF0C7D">
        <w:t>“</w:t>
      </w:r>
      <w:r w:rsidR="00940F6E" w:rsidRPr="00CF0C7D">
        <w:rPr>
          <w:i/>
          <w:iCs/>
        </w:rPr>
        <w:t xml:space="preserve">explore a lot more in </w:t>
      </w:r>
      <w:r w:rsidR="00940F6E" w:rsidRPr="00CF0C7D">
        <w:rPr>
          <w:i/>
          <w:iCs/>
        </w:rPr>
        <w:lastRenderedPageBreak/>
        <w:t>terms of, like queerness and race and ethnicity</w:t>
      </w:r>
      <w:r w:rsidR="00940F6E" w:rsidRPr="00CF0C7D">
        <w:t>”</w:t>
      </w:r>
      <w:r w:rsidR="0088526A" w:rsidRPr="00CF0C7D">
        <w:t>]</w:t>
      </w:r>
      <w:r w:rsidR="00940F6E" w:rsidRPr="00CF0C7D">
        <w:t xml:space="preserve"> (SF03-C01). </w:t>
      </w:r>
      <w:r w:rsidRPr="00CF0C7D">
        <w:t>L’exploration de l’identité et l’inclusion ont également été facilitées par des professeurs inclusifs. Un participant a tissé des liens avec un professeur d’histoire spécialisé dans les études sur la cécité et la surdité, y voyant le reflet de sa propre identité. Un autre a apprécié un professeur qui utilisait des pronoms inclusifs et des vœux de fêtes inclusifs. Un autre participant s’est senti inclus par un professeur qui portait des appareils auditifs et utilisait avec humour le système FM du participant.</w:t>
      </w:r>
    </w:p>
    <w:p w14:paraId="1110FA63" w14:textId="7BE30F55" w:rsidR="00940F6E" w:rsidRPr="00CF0C7D" w:rsidRDefault="00827625" w:rsidP="00940F6E">
      <w:r w:rsidRPr="00CF0C7D">
        <w:t>De nombreux participants ont bénéficié du soutien de professeurs leur offrant des mesures d’adaptation telles que des échéances flexibles, des durées d’examen prolongées et l’accès à des ordinateurs portables et à des écouteurs. Un participant a pu bénéficier d’un soutien pédagogique facilement accessible grâce à des tuteurs, à des centres d’apprentissage et aux ressources de la bibliothèque. Un participant a apprécié la communauté très soudée des preneurs de notes, qui reflétait l’entraide entre les étudiants.</w:t>
      </w:r>
      <w:r w:rsidR="00940F6E" w:rsidRPr="00CF0C7D">
        <w:t xml:space="preserve"> </w:t>
      </w:r>
    </w:p>
    <w:p w14:paraId="15F75752" w14:textId="22774491" w:rsidR="006367D1" w:rsidRPr="00CF0C7D" w:rsidRDefault="00827625" w:rsidP="00940F6E">
      <w:r w:rsidRPr="00CF0C7D">
        <w:t>Les modalités d’apprentissage accessibles comprenaient l’enseignement en ligne, des horaires flexibles, une participation via les tendances des médias sociaux, des présentations avec conversion de la voix en texte et des classes de petite taille. Cependant, parmi les problèmes soulevés figuraient les classes surchargées, les styles d’enseignement inaccessibles, le manque d’information sur l’intersectionnalité et les attitudes à l’égard des mesures d’adaptation. Les cours d’anglais, d’études culturelles et de sciences humaines avaient tendance à adopter une approche plus inclusive et intersectionnelle que les cours de sciences. Un participant a noté qu’un cours de psychologie féministe se concentrait fortement sur les première et deuxième vagues du féminisme, sans tenir compte des identités transgenres et non binaires. Un autre a eu de la difficulté avec un professeur qui adhérait au binaire de genre. Certains professeurs doutaient de la pertinence des mesures d’adaptation pour le monde du travail, ce qui a nécessité l’intervention des services d’accessibilité aux étudiants.</w:t>
      </w:r>
    </w:p>
    <w:p w14:paraId="02D88137" w14:textId="74705D52" w:rsidR="006367D1" w:rsidRPr="00CF0C7D" w:rsidRDefault="0088526A" w:rsidP="00E537FF">
      <w:pPr>
        <w:pStyle w:val="Heading2"/>
      </w:pPr>
      <w:bookmarkStart w:id="21" w:name="_Toc233210515"/>
      <w:r w:rsidRPr="00CF0C7D">
        <w:t>Ressources et services recommandés</w:t>
      </w:r>
      <w:bookmarkEnd w:id="21"/>
    </w:p>
    <w:p w14:paraId="2559FDC6" w14:textId="0B4A8696" w:rsidR="00710712" w:rsidRPr="00CF0C7D" w:rsidRDefault="0088526A" w:rsidP="00710712">
      <w:r w:rsidRPr="00CF0C7D">
        <w:t xml:space="preserve">Pour répondre aux questions 5 et 5a concernant les ressources et les soutiens susceptibles de favoriser une transition réussie de l’enseignement postsecondaire au marché du travail, les données de l’enquête et des groupes de discussion ont été analysées. Quatorze participants à l’enquête de suivi (40 %) avaient eu recours à des prestations gouvernementales pendant leur période de recherche d’emploi, et 10 (28,57 %) avaient utilisé une forme ou une autre de services communautaires au cours de leur parcours de recherche d’emploi. Le recours aux ressources communautaires et l’accès aux prestations gouvernementales n’étaient pas significativement liés à la recherche d’emploi. Ceux qui n’avaient pas eu recours aux ressources communautaires avaient tendance à passer plus de temps à chercher un emploi, mais cette corrélation n’était pas significative (ρ = -0,29, </w:t>
      </w:r>
      <w:r w:rsidRPr="00CF0C7D">
        <w:rPr>
          <w:i/>
          <w:iCs/>
        </w:rPr>
        <w:t>p</w:t>
      </w:r>
      <w:r w:rsidRPr="00CF0C7D">
        <w:t xml:space="preserve"> = 0,20).</w:t>
      </w:r>
    </w:p>
    <w:p w14:paraId="33A506A7" w14:textId="796AA0BC" w:rsidR="00572DB6" w:rsidRPr="00CF0C7D" w:rsidRDefault="0088526A" w:rsidP="00572DB6">
      <w:pPr>
        <w:pStyle w:val="Heading3"/>
        <w:rPr>
          <w:rFonts w:eastAsia="Arial"/>
        </w:rPr>
      </w:pPr>
      <w:r w:rsidRPr="00CF0C7D">
        <w:rPr>
          <w:rFonts w:eastAsia="Arial"/>
        </w:rPr>
        <w:t>Soutiens à la transition de l’école au marché du travail</w:t>
      </w:r>
    </w:p>
    <w:p w14:paraId="2BAD5510" w14:textId="50E51C31" w:rsidR="00572DB6" w:rsidRPr="00CF0C7D" w:rsidRDefault="0088526A" w:rsidP="00710712">
      <w:pPr>
        <w:rPr>
          <w:rFonts w:eastAsia="Arial" w:cs="Arial"/>
        </w:rPr>
      </w:pPr>
      <w:r w:rsidRPr="00CF0C7D">
        <w:rPr>
          <w:rFonts w:eastAsia="Arial" w:cs="Arial"/>
        </w:rPr>
        <w:t xml:space="preserve">Les participants aux groupes de discussion ont évoqué les soutiens extrascolaires auxquels ils avaient eu recours lors de la transition de l’école au marché du travail. Quelques-uns avaient utilisé des services d’emploi et des soutiens tels que </w:t>
      </w:r>
      <w:r w:rsidRPr="00CF0C7D">
        <w:t>«</w:t>
      </w:r>
      <w:r w:rsidRPr="00CF0C7D">
        <w:rPr>
          <w:rFonts w:eastAsia="Arial" w:cs="Arial"/>
        </w:rPr>
        <w:t xml:space="preserve"> LIME Connect </w:t>
      </w:r>
      <w:r w:rsidRPr="00CF0C7D">
        <w:t>»</w:t>
      </w:r>
      <w:r w:rsidRPr="00CF0C7D">
        <w:rPr>
          <w:rFonts w:eastAsia="Arial" w:cs="Arial"/>
        </w:rPr>
        <w:t>. Le soutien familial s’est également avéré utile pour quelques participants, leur permettant d’acquérir des connaissances et des compétences, et leur procurant un sentiment général de soutien dans leurs décisions. Cependant, quelques participants ont estimé que leur famille ou leurs amis ne les soutenaient pas suffisamment, car ils ne comprenaient pas la pertinence professionnelle de leur diplôme ou de leur rôle.</w:t>
      </w:r>
    </w:p>
    <w:p w14:paraId="03670FBB" w14:textId="318F9446" w:rsidR="00572DB6" w:rsidRPr="00CF0C7D" w:rsidRDefault="0088526A" w:rsidP="00572DB6">
      <w:pPr>
        <w:pStyle w:val="Heading3"/>
      </w:pPr>
      <w:r w:rsidRPr="00CF0C7D">
        <w:lastRenderedPageBreak/>
        <w:t>Ressources et soutiens souhaités</w:t>
      </w:r>
    </w:p>
    <w:p w14:paraId="273FFCAA" w14:textId="06A5F401" w:rsidR="005D3754" w:rsidRPr="00CF0C7D" w:rsidRDefault="0088526A" w:rsidP="005D3754">
      <w:pPr>
        <w:rPr>
          <w:rFonts w:eastAsia="Arial" w:cs="Arial"/>
        </w:rPr>
      </w:pPr>
      <w:r w:rsidRPr="00CF0C7D">
        <w:rPr>
          <w:rFonts w:eastAsia="Arial" w:cs="Arial"/>
        </w:rPr>
        <w:t>Les participants aux groupes de discussion ont formulé de nombreuses recommandations visant à améliorer l’inclusion en matière de mesures d’accessibilité scolaire, de services d’orientation professionnelle, d’environnements d’apprentissage, ainsi que de clubs, d’espaces et d’activités, notamment :</w:t>
      </w:r>
    </w:p>
    <w:p w14:paraId="5E5BCE43" w14:textId="19693243" w:rsidR="0088526A" w:rsidRPr="00CF0C7D" w:rsidRDefault="0088526A">
      <w:pPr>
        <w:pStyle w:val="ListParagraph"/>
        <w:numPr>
          <w:ilvl w:val="0"/>
          <w:numId w:val="18"/>
        </w:numPr>
        <w:rPr>
          <w:rFonts w:eastAsia="Arial" w:cs="Arial"/>
          <w:lang w:val="fr-CA"/>
        </w:rPr>
      </w:pPr>
      <w:r w:rsidRPr="00CF0C7D">
        <w:rPr>
          <w:rFonts w:eastAsia="Arial" w:cs="Arial"/>
          <w:lang w:val="fr-CA"/>
        </w:rPr>
        <w:t>Mesures d’accessibilité scolaire (offrir un suivi proactif, un soutien financier aux étudiants ayant besoin de plus de temps pour terminer leurs études, un accompagnement psychologique à long terme, ainsi que des salles insonorisées et recouvertes de moquette, équipées de casques d’écoute)</w:t>
      </w:r>
    </w:p>
    <w:p w14:paraId="0304C379" w14:textId="49F364A7" w:rsidR="0088526A" w:rsidRPr="00CF0C7D" w:rsidRDefault="0088526A">
      <w:pPr>
        <w:pStyle w:val="ListParagraph"/>
        <w:numPr>
          <w:ilvl w:val="0"/>
          <w:numId w:val="18"/>
        </w:numPr>
        <w:rPr>
          <w:rFonts w:eastAsia="Arial" w:cs="Arial"/>
          <w:lang w:val="fr-CA"/>
        </w:rPr>
      </w:pPr>
      <w:r w:rsidRPr="00CF0C7D">
        <w:rPr>
          <w:rFonts w:eastAsia="Arial" w:cs="Arial"/>
          <w:lang w:val="fr-CA"/>
        </w:rPr>
        <w:t xml:space="preserve">Services d’orientation professionnelle, notamment : </w:t>
      </w:r>
    </w:p>
    <w:p w14:paraId="68CBB858" w14:textId="3339C2D0" w:rsidR="0088526A" w:rsidRPr="00CF0C7D" w:rsidRDefault="0088526A">
      <w:pPr>
        <w:pStyle w:val="ListParagraph"/>
        <w:numPr>
          <w:ilvl w:val="1"/>
          <w:numId w:val="18"/>
        </w:numPr>
        <w:rPr>
          <w:rFonts w:eastAsia="Arial" w:cs="Arial"/>
          <w:lang w:val="fr-CA"/>
        </w:rPr>
      </w:pPr>
      <w:r w:rsidRPr="00CF0C7D">
        <w:rPr>
          <w:rFonts w:eastAsia="Arial" w:cs="Arial"/>
          <w:lang w:val="fr-CA"/>
        </w:rPr>
        <w:t>expérience de travail (p. ex., stages coopératifs, programmes pratiques, observation au poste de travail)</w:t>
      </w:r>
    </w:p>
    <w:p w14:paraId="6A6BFB6F" w14:textId="3DEF579F" w:rsidR="0088526A" w:rsidRPr="00CF0C7D" w:rsidRDefault="0088526A">
      <w:pPr>
        <w:pStyle w:val="ListParagraph"/>
        <w:numPr>
          <w:ilvl w:val="1"/>
          <w:numId w:val="18"/>
        </w:numPr>
        <w:rPr>
          <w:rFonts w:eastAsia="Arial" w:cs="Arial"/>
          <w:lang w:val="fr-CA"/>
        </w:rPr>
      </w:pPr>
      <w:r w:rsidRPr="00CF0C7D">
        <w:rPr>
          <w:rFonts w:eastAsia="Arial" w:cs="Arial"/>
          <w:lang w:val="fr-CA"/>
        </w:rPr>
        <w:t xml:space="preserve">counseling en orientation professionnelle (p. ex., simulations d’entrevues en milieu de travail, formation sur la divulgation et les mesures d’adaptation, développement des compétences, techniques de marketing pour l’emploi, programmes d’orientation professionnelle pour les </w:t>
      </w:r>
      <w:r w:rsidR="0045247B">
        <w:rPr>
          <w:rFonts w:eastAsia="Arial" w:cs="Arial"/>
          <w:lang w:val="fr-CA"/>
        </w:rPr>
        <w:t>personnes en situation de handicap</w:t>
      </w:r>
      <w:r w:rsidRPr="00CF0C7D">
        <w:rPr>
          <w:rFonts w:eastAsia="Arial" w:cs="Arial"/>
          <w:lang w:val="fr-CA"/>
        </w:rPr>
        <w:t>)</w:t>
      </w:r>
    </w:p>
    <w:p w14:paraId="4B99BEA5" w14:textId="780E3D45" w:rsidR="0088526A" w:rsidRPr="00CF0C7D" w:rsidRDefault="0088526A">
      <w:pPr>
        <w:pStyle w:val="ListParagraph"/>
        <w:numPr>
          <w:ilvl w:val="1"/>
          <w:numId w:val="18"/>
        </w:numPr>
        <w:rPr>
          <w:rFonts w:eastAsia="Arial" w:cs="Arial"/>
          <w:lang w:val="fr-CA"/>
        </w:rPr>
      </w:pPr>
      <w:r w:rsidRPr="00CF0C7D">
        <w:rPr>
          <w:rFonts w:eastAsia="Arial" w:cs="Arial"/>
          <w:lang w:val="fr-CA"/>
        </w:rPr>
        <w:t>de l’information et des ressources (p. ex., des périodes d’essai pour tester des filières avant l’inscription, des mentors offrant des conseils pratiques et partageant leur expérience sur l’entrée sur le marché du travail, ainsi que des répertoires de filières et d’emplois)</w:t>
      </w:r>
    </w:p>
    <w:p w14:paraId="2AB37E6D" w14:textId="0448CDDD" w:rsidR="0088526A" w:rsidRPr="00CF0C7D" w:rsidRDefault="0088526A">
      <w:pPr>
        <w:pStyle w:val="ListParagraph"/>
        <w:numPr>
          <w:ilvl w:val="0"/>
          <w:numId w:val="18"/>
        </w:numPr>
        <w:rPr>
          <w:rFonts w:eastAsia="Arial" w:cs="Arial"/>
          <w:lang w:val="fr-CA"/>
        </w:rPr>
      </w:pPr>
      <w:r w:rsidRPr="00CF0C7D">
        <w:rPr>
          <w:rFonts w:eastAsia="Arial" w:cs="Arial"/>
          <w:lang w:val="fr-CA"/>
        </w:rPr>
        <w:t>Des environnements d’apprentissage inclusifs (intégrant des tutoriels virtuels, des groupes plus restreints et des salles de discussion, des politiques adaptées aux différents styles d’apprentissage, des programmes d’expérience de travail prolongés, ainsi que des initiatives destinées aux personnes en situation de handicap, en mettant l’accent sur les immigrants)</w:t>
      </w:r>
    </w:p>
    <w:p w14:paraId="72A972F6" w14:textId="4ECC0781" w:rsidR="0088526A" w:rsidRPr="00CF0C7D" w:rsidRDefault="0088526A">
      <w:pPr>
        <w:pStyle w:val="ListParagraph"/>
        <w:numPr>
          <w:ilvl w:val="0"/>
          <w:numId w:val="18"/>
        </w:numPr>
        <w:rPr>
          <w:rFonts w:eastAsia="Arial" w:cs="Arial"/>
          <w:lang w:val="fr-CA"/>
        </w:rPr>
      </w:pPr>
      <w:r w:rsidRPr="00CF0C7D">
        <w:rPr>
          <w:rFonts w:eastAsia="Arial" w:cs="Arial"/>
          <w:lang w:val="fr-CA"/>
        </w:rPr>
        <w:t>Clubs, espaces et activités inclusifs, avec des groupes plus restreints et moins d’engagements obligatoires.</w:t>
      </w:r>
    </w:p>
    <w:p w14:paraId="48391D53" w14:textId="321AF84D" w:rsidR="00EC1B05" w:rsidRPr="00CF0C7D" w:rsidRDefault="00EF619F" w:rsidP="00EC1B05">
      <w:r w:rsidRPr="00CF0C7D">
        <w:t>Dans l’enquête de suivi, les participants pouvaient fournir des réponses qualitatives sur les ressources qui seraient les plus utiles aux nouveaux diplômés en situation de handicap à la recherche d’un emploi. Celles-ci comprenaient des occasions de réseautage et de création de relations; des processus d’embauche accessibles et la responsabilisation des employeurs; des soutiens spécifiques, pratiques et adaptés au milieu professionnel; un soutien financier; ainsi que des ressources centralisées pour la recherche d’emploi.</w:t>
      </w:r>
    </w:p>
    <w:p w14:paraId="59BE868F" w14:textId="77777777" w:rsidR="00EF619F" w:rsidRPr="00CF0C7D" w:rsidRDefault="00EF619F" w:rsidP="00EF619F">
      <w:r w:rsidRPr="00CF0C7D">
        <w:t>Le thème le plus récurrent concernait les occasions de réseautage et de création de liens. Certains participants ont expliqué que disposer de réseaux professionnels était un privilège et que l’absence de ces liens rendait la recherche d’emploi difficile. De nombreux participants ont également souligné la nécessité de transparence et d’accessibilité dans les processus d’embauche. Cela comprenait des offres d’emploi et des processus de candidature accessibles, des babillards d’emploi dédiés aux travailleurs en situation de handicap, une communication claire sur les mesures d’adaptation dans les offres d’emploi, ainsi que des efforts de la part des employeurs pour aller à la rencontre des candidats en situation de handicap et répondre à leurs besoins.</w:t>
      </w:r>
    </w:p>
    <w:p w14:paraId="7D3D0838" w14:textId="77777777" w:rsidR="00EF619F" w:rsidRPr="00CF0C7D" w:rsidRDefault="00EF619F" w:rsidP="00EF619F">
      <w:r w:rsidRPr="00CF0C7D">
        <w:t xml:space="preserve">De plus, les participants souhaitaient bénéficier d’un soutien spécifique, pratique et adapté aux secteurs d’activité qu’ils visaient. Cela comprenait des conseillers en orientation professionnelle spécialisés dans le handicap, de l’aide à la rédaction du curriculum vitae et de la lettre de motivation, des simulations d’entrevues d’embauche, ainsi que des ressources de planification de carrière (p. ex., une aide pour identifier différents parcours professionnels). Certains ont </w:t>
      </w:r>
      <w:r w:rsidRPr="00CF0C7D">
        <w:lastRenderedPageBreak/>
        <w:t>exprimé leur frustration face à des conseils trop génériques ou à des ressources qui ne tenaient pas compte des réalités liées au handicap.</w:t>
      </w:r>
    </w:p>
    <w:p w14:paraId="5ACDA2EC" w14:textId="2971383E" w:rsidR="00EF619F" w:rsidRPr="00CF0C7D" w:rsidRDefault="00EF619F" w:rsidP="00EF619F">
      <w:r w:rsidRPr="00CF0C7D">
        <w:t>Les participants ont identifié la précarité financière comme un obstacle majeur au démarrage et à la poursuite de la recherche d’emploi. Des ressources visant à surmonter les obstacles économiques, telles que des subventions pour les technologies d’assistance ou la couverture d’assurance pour les médicaments, ont été mentionnées. Enfin, les participants ont souligné la nature fragmentée et décentralisée du paysage de la recherche d’emploi. Parmi les ressources qu’ils jugeaient utiles figuraient une base de données centrale d’offres d’emploi proposant des moyens simples (et accessibles) de postuler, ainsi que des conseils clairs sur les endroits où chercher de l’emploi.</w:t>
      </w:r>
    </w:p>
    <w:p w14:paraId="5FD2325C" w14:textId="33DFB147" w:rsidR="005F6861" w:rsidRPr="00CF0C7D" w:rsidRDefault="000C7621" w:rsidP="00167F67">
      <w:pPr>
        <w:pStyle w:val="Heading1"/>
        <w:ind w:left="0"/>
        <w:rPr>
          <w:lang w:val="fr-CA"/>
        </w:rPr>
      </w:pPr>
      <w:bookmarkStart w:id="22" w:name="_Toc233210516"/>
      <w:r w:rsidRPr="00CF0C7D">
        <w:rPr>
          <w:lang w:val="fr-CA"/>
        </w:rPr>
        <w:t>Discussion</w:t>
      </w:r>
      <w:bookmarkEnd w:id="22"/>
    </w:p>
    <w:p w14:paraId="5B3A7F5F" w14:textId="7ED1F064" w:rsidR="002452E5" w:rsidRPr="00CF0C7D" w:rsidRDefault="00191035" w:rsidP="002452E5">
      <w:pPr>
        <w:rPr>
          <w:lang w:eastAsia="en-US"/>
        </w:rPr>
      </w:pPr>
      <w:r w:rsidRPr="00CF0C7D">
        <w:t>Les jeunes adultes en situation de handicap sont plus nombreux que jamais à poursuivre des études postsecondaires, mais ils continuent de faire face à des taux de chômage plus élevés que leurs pairs sans handicap. SURF a constaté que les nouveaux diplômés en situation de handicap se heurtent à de nombreux obstacles pour intégrer le marché du travail, et que bon nombre d’entre eux se sentent stressés, mal préparés et découragés face à la transition entre les études postsecondaires et le monde du travail. Dans l’ensemble, les résultats révèlent un parcours difficile et fragmenté vers le marché du travail, au cours duquel les nouveaux diplômés en situation de handicap peuvent être confrontés à de longues recherches d’emploi, à des possibilités limitées d’emplois de premier échelon, à des préjugés et à la discrimination, à des difficultés d’accès aux services, ainsi qu’à un accès inégal aux possibilités de perfectionnement professionnel et aux premières expériences de travail.</w:t>
      </w:r>
    </w:p>
    <w:p w14:paraId="5BD5B9B1" w14:textId="50D2EBF7" w:rsidR="000C7621" w:rsidRPr="00CF0C7D" w:rsidRDefault="00191035" w:rsidP="00E537FF">
      <w:pPr>
        <w:pStyle w:val="Heading2"/>
        <w:rPr>
          <w:lang w:eastAsia="en-US"/>
        </w:rPr>
      </w:pPr>
      <w:bookmarkStart w:id="23" w:name="_Toc233210517"/>
      <w:r w:rsidRPr="00CF0C7D">
        <w:rPr>
          <w:lang w:eastAsia="en-US"/>
        </w:rPr>
        <w:t>Attentes et réalités des nouveaux diplômés qui entrent sur le marché du travail</w:t>
      </w:r>
      <w:bookmarkEnd w:id="23"/>
    </w:p>
    <w:p w14:paraId="7BC58E0A" w14:textId="09EB2840" w:rsidR="00CD36C3" w:rsidRPr="00CF0C7D" w:rsidRDefault="00191035" w:rsidP="000C7621">
      <w:r w:rsidRPr="00CF0C7D">
        <w:t>Après l’obtention de leur diplôme, les jeunes adultes en situation de handicap ont constaté que leur recherche d’emploi prenait souvent plus de temps que prévu, et bon nombre d’entre eux ont eu de la difficulté à trouver un emploi permanent à temps plein. Les nouveaux diplômés en situation de handicap ont également signalé qu’il y avait peu d’emplois de niveau d’entrée disponibles, et beaucoup avaient été victimes de discrimination de la part des employeurs.</w:t>
      </w:r>
    </w:p>
    <w:p w14:paraId="4C74D851" w14:textId="32FE9D2A" w:rsidR="00C25228" w:rsidRPr="00CF0C7D" w:rsidRDefault="00191035" w:rsidP="000C7621">
      <w:pPr>
        <w:rPr>
          <w:color w:val="000000" w:themeColor="text1"/>
        </w:rPr>
      </w:pPr>
      <w:r w:rsidRPr="00CF0C7D">
        <w:rPr>
          <w:color w:val="000000" w:themeColor="text1"/>
        </w:rPr>
        <w:t xml:space="preserve">Les étudiants ont réussi à prédire avec une certaine précision comment ils s’en sortiraient plus tard sur le marché du travail. Dans l’ensemble, cependant, </w:t>
      </w:r>
      <w:r w:rsidRPr="00CF0C7D">
        <w:rPr>
          <w:b/>
          <w:bCs/>
          <w:color w:val="000000" w:themeColor="text1"/>
        </w:rPr>
        <w:t>la réalité du marché du travail pour les nouveaux diplômés avait plus de chances de ne pas répondre à leurs attentes que de les dépasser</w:t>
      </w:r>
      <w:r w:rsidRPr="00CF0C7D">
        <w:rPr>
          <w:color w:val="000000" w:themeColor="text1"/>
        </w:rPr>
        <w:t xml:space="preserve">. Les résultats ne variaient pas de façon marquée en fonction de facteurs sociodémographiques ou liés au handicap (à l’exception du nombre de handicaps); toutefois, la petite taille de l’échantillon de l’enquête de suivi rend difficile de tirer des conclusions définitives à ce sujet. Les données de l’Enquête nationale auprès des diplômés (END) de 2023 suggèrent que les résultats en matière d’emploi diffèrent selon des lignes d’intersectionnalité, notamment le genre et l’appartenance à un groupe racialisé. Environ trois ans après l’obtention de leur diplôme, 81,6 % des diplômés </w:t>
      </w:r>
      <w:r w:rsidR="0045247B">
        <w:rPr>
          <w:color w:val="000000" w:themeColor="text1"/>
        </w:rPr>
        <w:t>en situation de handicap</w:t>
      </w:r>
      <w:r w:rsidRPr="00CF0C7D">
        <w:rPr>
          <w:color w:val="000000" w:themeColor="text1"/>
        </w:rPr>
        <w:t xml:space="preserve"> et appartenant à un </w:t>
      </w:r>
      <w:r w:rsidR="00DC156C" w:rsidRPr="00DC156C">
        <w:rPr>
          <w:color w:val="000000" w:themeColor="text1"/>
        </w:rPr>
        <w:t>groupe racialisé</w:t>
      </w:r>
      <w:r w:rsidR="00DC156C">
        <w:rPr>
          <w:color w:val="000000" w:themeColor="text1"/>
        </w:rPr>
        <w:t xml:space="preserve"> </w:t>
      </w:r>
      <w:r w:rsidRPr="00CF0C7D">
        <w:rPr>
          <w:color w:val="000000" w:themeColor="text1"/>
        </w:rPr>
        <w:t xml:space="preserve">occupaient un emploi, comparativement à 85,3 % des diplômés blancs </w:t>
      </w:r>
      <w:r w:rsidR="0045247B">
        <w:rPr>
          <w:color w:val="000000" w:themeColor="text1"/>
        </w:rPr>
        <w:t>en situation de handicap</w:t>
      </w:r>
      <w:r w:rsidRPr="00CF0C7D">
        <w:rPr>
          <w:color w:val="000000" w:themeColor="text1"/>
        </w:rPr>
        <w:t xml:space="preserve">; de même, 85,7 % des femmes diplômées </w:t>
      </w:r>
      <w:r w:rsidR="0045247B">
        <w:rPr>
          <w:color w:val="000000" w:themeColor="text1"/>
        </w:rPr>
        <w:t>en situation de handicap</w:t>
      </w:r>
      <w:r w:rsidRPr="00CF0C7D">
        <w:rPr>
          <w:color w:val="000000" w:themeColor="text1"/>
        </w:rPr>
        <w:t xml:space="preserve"> occupaient un emploi, contre 80,9 % des hommes</w:t>
      </w:r>
      <w:r w:rsidR="00D62B2B" w:rsidRPr="00CF0C7D">
        <w:rPr>
          <w:color w:val="000000" w:themeColor="text1"/>
        </w:rPr>
        <w:t>.</w:t>
      </w:r>
      <w:r w:rsidR="005C5A3E" w:rsidRPr="00CF0C7D">
        <w:rPr>
          <w:color w:val="000000" w:themeColor="text1"/>
        </w:rPr>
        <w:fldChar w:fldCharType="begin"/>
      </w:r>
      <w:r w:rsidR="005C5A3E" w:rsidRPr="00CF0C7D">
        <w:rPr>
          <w:color w:val="000000" w:themeColor="text1"/>
        </w:rPr>
        <w:instrText xml:space="preserve"> NOTEREF _Ref227340197 \f \h </w:instrText>
      </w:r>
      <w:r w:rsidR="005C5A3E" w:rsidRPr="00CF0C7D">
        <w:rPr>
          <w:color w:val="000000" w:themeColor="text1"/>
        </w:rPr>
      </w:r>
      <w:r w:rsidR="005C5A3E" w:rsidRPr="00CF0C7D">
        <w:rPr>
          <w:color w:val="000000" w:themeColor="text1"/>
        </w:rPr>
        <w:fldChar w:fldCharType="separate"/>
      </w:r>
      <w:r w:rsidR="007E08D9" w:rsidRPr="00CF0C7D">
        <w:rPr>
          <w:rStyle w:val="EndnoteReference"/>
        </w:rPr>
        <w:t>3</w:t>
      </w:r>
      <w:r w:rsidR="005C5A3E" w:rsidRPr="00CF0C7D">
        <w:rPr>
          <w:color w:val="000000" w:themeColor="text1"/>
        </w:rPr>
        <w:fldChar w:fldCharType="end"/>
      </w:r>
      <w:r w:rsidR="00D62B2B" w:rsidRPr="00CF0C7D">
        <w:rPr>
          <w:color w:val="000000" w:themeColor="text1"/>
        </w:rPr>
        <w:t xml:space="preserve"> </w:t>
      </w:r>
      <w:r w:rsidRPr="00CF0C7D">
        <w:rPr>
          <w:color w:val="000000" w:themeColor="text1"/>
        </w:rPr>
        <w:t>Des données représentatives à l’échelle nationale issues de l’END pourraient permettre de mieux éclairer ces tendances dans le cadre de recherches futures.</w:t>
      </w:r>
    </w:p>
    <w:p w14:paraId="41187C1B" w14:textId="1CB31DBB" w:rsidR="008C6136" w:rsidRPr="00CF0C7D" w:rsidRDefault="00191035" w:rsidP="000C7621">
      <w:pPr>
        <w:rPr>
          <w:color w:val="000000" w:themeColor="text1"/>
        </w:rPr>
      </w:pPr>
      <w:r w:rsidRPr="00CF0C7D">
        <w:rPr>
          <w:color w:val="000000" w:themeColor="text1"/>
        </w:rPr>
        <w:t xml:space="preserve">L’une des conclusions notables de cette étude est que les étudiants ayant des </w:t>
      </w:r>
      <w:r w:rsidR="00E74A8A">
        <w:rPr>
          <w:color w:val="000000" w:themeColor="text1"/>
        </w:rPr>
        <w:t>handicaps liés à la santé mentale</w:t>
      </w:r>
      <w:r w:rsidRPr="00CF0C7D">
        <w:rPr>
          <w:color w:val="000000" w:themeColor="text1"/>
        </w:rPr>
        <w:t xml:space="preserve"> </w:t>
      </w:r>
      <w:r w:rsidRPr="00CF0C7D">
        <w:rPr>
          <w:i/>
          <w:iCs/>
          <w:color w:val="000000" w:themeColor="text1"/>
        </w:rPr>
        <w:t>s’attendaient</w:t>
      </w:r>
      <w:r w:rsidRPr="00CF0C7D">
        <w:rPr>
          <w:color w:val="000000" w:themeColor="text1"/>
        </w:rPr>
        <w:t xml:space="preserve"> à une recherche d’emploi nettement plus longue que leurs pairs sans </w:t>
      </w:r>
      <w:r w:rsidR="00E74A8A">
        <w:rPr>
          <w:color w:val="000000" w:themeColor="text1"/>
        </w:rPr>
        <w:lastRenderedPageBreak/>
        <w:t>handicaps liés à la santé mentale</w:t>
      </w:r>
      <w:r w:rsidRPr="00CF0C7D">
        <w:rPr>
          <w:color w:val="000000" w:themeColor="text1"/>
        </w:rPr>
        <w:t>, mais cette différence ne s’est pas traduite dans les résultats concrets. En revanche, les nouveaux diplômés présentant plusieurs handicaps concomitants s’attendaient à une recherche d’emploi nettement plus longue et ont effectivement mis beaucoup plus de temps à trouver un emploi que ceux présentant moins de handicaps concomitants.</w:t>
      </w:r>
    </w:p>
    <w:p w14:paraId="1BCD163B" w14:textId="7DECC020" w:rsidR="00E411EB" w:rsidRPr="00CF0C7D" w:rsidRDefault="00191035" w:rsidP="000C7621">
      <w:pPr>
        <w:rPr>
          <w:lang w:eastAsia="en-US"/>
        </w:rPr>
      </w:pPr>
      <w:r w:rsidRPr="00CF0C7D">
        <w:rPr>
          <w:color w:val="000000" w:themeColor="text1"/>
        </w:rPr>
        <w:t>Bien que ce résultat n’ait pas non plus atteint le seuil de signification statistique, les données suggèrent qu’un délai plus long pour trouver un emploi pourrait être corrélé à une moindre satisfaction professionnelle – peut-être parce que ceux qui cherchent depuis longtemps sont plus enclins à accepter un emploi de moindre qualité. Toutefois, des recherches supplémentaires avec un échantillon plus large sont nécessaires pour approfondir cette question.</w:t>
      </w:r>
    </w:p>
    <w:p w14:paraId="098E9264" w14:textId="0D62F02A" w:rsidR="00E4311C" w:rsidRPr="00CF0C7D" w:rsidRDefault="00350390" w:rsidP="00E4311C">
      <w:pPr>
        <w:pStyle w:val="Heading2"/>
        <w:rPr>
          <w:lang w:eastAsia="en-US"/>
        </w:rPr>
      </w:pPr>
      <w:bookmarkStart w:id="24" w:name="_Toc233210518"/>
      <w:r w:rsidRPr="00CF0C7D">
        <w:rPr>
          <w:lang w:eastAsia="en-US"/>
        </w:rPr>
        <w:t>Les plus grands écarts dans la transition de l’enseignement postsecondaire au marché du travail (et stratégies de changement)</w:t>
      </w:r>
      <w:bookmarkEnd w:id="24"/>
    </w:p>
    <w:p w14:paraId="644FE9EB" w14:textId="61F9E7A7" w:rsidR="008B4DA5" w:rsidRPr="00CF0C7D" w:rsidRDefault="008E2CC9" w:rsidP="000D47E7">
      <w:pPr>
        <w:pStyle w:val="Heading3"/>
        <w:rPr>
          <w:lang w:eastAsia="en-US"/>
        </w:rPr>
      </w:pPr>
      <w:r w:rsidRPr="00CF0C7D">
        <w:rPr>
          <w:lang w:eastAsia="en-US"/>
        </w:rPr>
        <w:t>Premières expériences professionnelles et réseautage</w:t>
      </w:r>
    </w:p>
    <w:p w14:paraId="7E6EC8F8" w14:textId="31987FF3" w:rsidR="00BD4DB9" w:rsidRPr="00CF0C7D" w:rsidRDefault="008E2CC9" w:rsidP="00BD4DB9">
      <w:r w:rsidRPr="00CF0C7D">
        <w:t>Les premières expériences de travail contribuent à la réussite professionnelle ultérieure, mais comme le suggèrent les résultats, ces occasions ne sont pas toujours accessibles aux étudiants en situation de handicap. De plus, les conclusions concernant l’importance des réseaux professionnels font écho à d’autres recherches indiquant que les personnes en situation de handicap disposent en moyenne de réseaux plus restreints.</w:t>
      </w:r>
      <w:bookmarkStart w:id="25" w:name="_Ref227339349"/>
      <w:r w:rsidR="000D5DCE" w:rsidRPr="00CF0C7D">
        <w:rPr>
          <w:rStyle w:val="EndnoteReference"/>
        </w:rPr>
        <w:endnoteReference w:id="15"/>
      </w:r>
      <w:bookmarkEnd w:id="25"/>
      <w:r w:rsidR="0082180D" w:rsidRPr="00CF0C7D">
        <w:rPr>
          <w:vertAlign w:val="superscript"/>
        </w:rPr>
        <w:t>,</w:t>
      </w:r>
      <w:bookmarkStart w:id="26" w:name="_Ref227339362"/>
      <w:r w:rsidR="00660724" w:rsidRPr="00CF0C7D">
        <w:rPr>
          <w:rStyle w:val="EndnoteReference"/>
        </w:rPr>
        <w:endnoteReference w:id="16"/>
      </w:r>
      <w:bookmarkEnd w:id="26"/>
      <w:r w:rsidR="00BD4DB9" w:rsidRPr="00CF0C7D">
        <w:t xml:space="preserve"> </w:t>
      </w:r>
      <w:r w:rsidRPr="00CF0C7D">
        <w:t>Les ressources favorisant le réseautage et l’établissement de relations pourraient inclure des salons de l’emploi, des programmes de mentorat et des réseaux de pairs, tandis que les premières expériences de travail pourraient inclure des occasions telles que des stages coopératifs, des stages ou des stages d’apprentissage en milieu de travail.</w:t>
      </w:r>
    </w:p>
    <w:p w14:paraId="6ED2FB0C" w14:textId="621A44F8" w:rsidR="002E0282" w:rsidRPr="00CF0C7D" w:rsidRDefault="008E2CC9" w:rsidP="00BD4DB9">
      <w:r w:rsidRPr="00CF0C7D">
        <w:t>Les initiatives de mentorat professionnel, en particulier, se sont révélées prometteuses pour aider les chercheurs d’emploi à renforcer leur confiance, à élargir leurs réseaux et à prendre des décisions éclairées en matière de planification de carrière.</w:t>
      </w:r>
      <w:r w:rsidR="00863AA8" w:rsidRPr="00CF0C7D">
        <w:rPr>
          <w:rStyle w:val="EndnoteReference"/>
        </w:rPr>
        <w:endnoteReference w:id="17"/>
      </w:r>
      <w:r w:rsidR="007B75A5" w:rsidRPr="00CF0C7D">
        <w:t xml:space="preserve"> </w:t>
      </w:r>
      <w:r w:rsidRPr="00CF0C7D">
        <w:t>L’accès à des mentors professionnels ayant eux-mêmes vécu un handicap peut s’avérer particulièrement bénéfique, car cela permet aux jeunes adultes en situation de handicap de voir des modèles partageant leurs expériences; de plus, les mentors peuvent offrir des conseils sur le « programme caché » du milieu de travail – c’est-à-dire les normes tacites, les présupposés et les règles sociales qui ne sont pas enseignées officiellement.</w:t>
      </w:r>
    </w:p>
    <w:p w14:paraId="5D08EFBF" w14:textId="4D6E2E3D" w:rsidR="008B4DA5" w:rsidRPr="00CF0C7D" w:rsidRDefault="008E2CC9" w:rsidP="000D47E7">
      <w:pPr>
        <w:pStyle w:val="Heading3"/>
      </w:pPr>
      <w:r w:rsidRPr="00CF0C7D">
        <w:t>Stigmatisation et discrimination de la part des employeurs</w:t>
      </w:r>
    </w:p>
    <w:p w14:paraId="762FEA37" w14:textId="76EC9EB5" w:rsidR="000E4654" w:rsidRPr="00CF0C7D" w:rsidRDefault="008E2CC9" w:rsidP="000C7621">
      <w:r w:rsidRPr="00CF0C7D">
        <w:t xml:space="preserve">Comme l’a explicitement souligné un participant, la création d’occasions d’apprentissage en milieu de travail exigera des prestataires de services d’emploi et des organismes communautaires qu’ils développent et renforcent leurs partenariats avec des employeurs inclusifs. Cependant, l’importance accordée par les participants à l’accessibilité et à la transparence dans le recrutement et l’embauche indique que les employeurs ne se rendent pas toujours compte à quel point les obstacles dans les processus de recrutement, de candidature et d’embauche peuvent exclure de nombreux chercheurs d’emploi </w:t>
      </w:r>
      <w:r w:rsidR="0045247B">
        <w:t>en situation de handicap</w:t>
      </w:r>
      <w:r w:rsidRPr="00CF0C7D">
        <w:t xml:space="preserve">, ce qui les empêche de prendre conscience du nombre de candidats qualifiés et scolarisés </w:t>
      </w:r>
      <w:r w:rsidR="0045247B">
        <w:t>en situation de handicap</w:t>
      </w:r>
      <w:r w:rsidRPr="00CF0C7D">
        <w:t xml:space="preserve"> qui pourraient faire partie de leur bassin de talents. D’autres recherches appuient l’idée selon laquelle les employeurs ont des idées fausses au sujet des personnes en situation de handicap et sous-estiment le nombre de travailleurs en situation de handicap qui postulent ou qui travaillent déjà pour eux.</w:t>
      </w:r>
      <w:r w:rsidR="00541BA0" w:rsidRPr="00CF0C7D">
        <w:rPr>
          <w:rStyle w:val="EndnoteReference"/>
        </w:rPr>
        <w:endnoteReference w:id="18"/>
      </w:r>
    </w:p>
    <w:p w14:paraId="1144B408" w14:textId="2301A5DB" w:rsidR="0054123D" w:rsidRPr="00CF0C7D" w:rsidRDefault="008E2CC9" w:rsidP="000C7621">
      <w:r w:rsidRPr="00CF0C7D">
        <w:t xml:space="preserve">De plus, près d’un participant sur quatre a déclaré avoir été victime de discrimination de la part d’un employeur au cours de sa recherche d’emploi. Les préjugés des employeurs liés au </w:t>
      </w:r>
      <w:r w:rsidRPr="00CF0C7D">
        <w:lastRenderedPageBreak/>
        <w:t>handicap peuvent constituer un défi particulièrement important pour les jeunes adultes, car les idées fausses concernant la jeunesse et la santé peuvent conduire à minimiser ou à ignorer les besoins des jeunes en situation de handicap. Afin de favoriser avec succès les partenariats entre les employeurs et les établissements d’enseignement postsecondaire – qui sont nécessaires pour créer des occasions d’apprentissage en milieu de travail –, il est nécessaire de sensibiliser et de former les employeurs à l’inclusion des personnes en situation de handicap et à l’accessibilité tout au long du cycle de vie professionnel, en mettant l’accent sur la manière de lutter contre les préjugés et la discrimination.</w:t>
      </w:r>
    </w:p>
    <w:p w14:paraId="75DF9D95" w14:textId="54F349B2" w:rsidR="0054123D" w:rsidRPr="00CF0C7D" w:rsidRDefault="00C35F98" w:rsidP="0054123D">
      <w:pPr>
        <w:pStyle w:val="Heading3"/>
        <w:rPr>
          <w:lang w:eastAsia="en-US"/>
        </w:rPr>
      </w:pPr>
      <w:r w:rsidRPr="00CF0C7D">
        <w:rPr>
          <w:lang w:eastAsia="en-US"/>
        </w:rPr>
        <w:t>Services d’orientation professionnelle – Accessibilité et coordination</w:t>
      </w:r>
    </w:p>
    <w:p w14:paraId="685CA2CB" w14:textId="77777777" w:rsidR="00C35F98" w:rsidRPr="00CF0C7D" w:rsidRDefault="00C35F98" w:rsidP="00C35F98">
      <w:pPr>
        <w:rPr>
          <w:lang w:eastAsia="en-US"/>
        </w:rPr>
      </w:pPr>
      <w:r w:rsidRPr="00CF0C7D">
        <w:rPr>
          <w:lang w:eastAsia="en-US"/>
        </w:rPr>
        <w:t>Les résultats de l’étude suggèrent que, dans leur forme actuelle, les services d’orientation professionnelle des établissements d’enseignement postsecondaire sont insuffisants pour répondre aux besoins des étudiants en situation de handicap. Les étudiants avaient des perceptions mitigées, mais principalement négatives, quant à la qualité, l’accessibilité et l’utilité de ces services. Certains n’en avaient jamais entendu parler ou ignoraient quelles ressources étaient offertes. Toutefois, les commentaires des participants indiquaient que ces services pourraient s’avérer très efficaces pour les étudiants en situation de handicap – en aidant à combler les lacunes dans les premières expériences professionnelles et les possibilités de développement des compétences, en facilitant l’accès aux ressources communautaires et en offrant des ressources centralisées pour la recherche d’emploi – à condition de mettre davantage l’accent sur l’accessibilité de ces services et d’améliorer la coordination entre les établissements, les employeurs et les organismes communautaires. Cela devrait se traduire par un élargissement des possibilités d’apprentissage intégré au travail et de perfectionnement professionnel accessibles; une coordination accrue et des parcours de transition entre les établissements et les fournisseurs de services communautaires; ainsi qu’une attention accrue portée à l’accessibilité, à la qualité, à la promotion et à la sensibilisation aux services d’orientation professionnelle dans les établissements d’enseignement postsecondaire.</w:t>
      </w:r>
    </w:p>
    <w:p w14:paraId="095DFDD6" w14:textId="612B89F9" w:rsidR="00C35F98" w:rsidRPr="00CF0C7D" w:rsidRDefault="00C35F98" w:rsidP="00C35F98">
      <w:pPr>
        <w:rPr>
          <w:lang w:eastAsia="en-US"/>
        </w:rPr>
      </w:pPr>
      <w:r w:rsidRPr="00CF0C7D">
        <w:rPr>
          <w:lang w:eastAsia="en-US"/>
        </w:rPr>
        <w:t xml:space="preserve">Une planification proactive de la carrière jette les bases du développement professionnel futur, et une planification précoce de la carrière devrait être encouragée et favorisée auprès de tous les étudiants de niveau postsecondaire, y compris ceux </w:t>
      </w:r>
      <w:r w:rsidR="0045247B">
        <w:rPr>
          <w:lang w:eastAsia="en-US"/>
        </w:rPr>
        <w:t>en situation de handicap</w:t>
      </w:r>
      <w:r w:rsidRPr="00CF0C7D">
        <w:rPr>
          <w:lang w:eastAsia="en-US"/>
        </w:rPr>
        <w:t xml:space="preserve">. Les </w:t>
      </w:r>
      <w:r w:rsidR="0045247B">
        <w:rPr>
          <w:lang w:eastAsia="en-US"/>
        </w:rPr>
        <w:t>étudiants en situation de handicap</w:t>
      </w:r>
      <w:r w:rsidRPr="00CF0C7D">
        <w:rPr>
          <w:lang w:eastAsia="en-US"/>
        </w:rPr>
        <w:t xml:space="preserve"> sont souvent sceptiques quant à l’utilité des services d’orientation professionnelle de leur établissement, ou réticents à y avoir recours pour d’autres raisons. Pour remédier à cela, la formation, l’éducation et le renforcement des capacités devraient constituer une priorité pour les bureaux d’orientation professionnelle, en particulier la formation du personnel à l’inclusion des </w:t>
      </w:r>
      <w:r w:rsidR="0045247B">
        <w:rPr>
          <w:lang w:eastAsia="en-US"/>
        </w:rPr>
        <w:t>personnes en situation de handicap</w:t>
      </w:r>
      <w:r w:rsidRPr="00CF0C7D">
        <w:rPr>
          <w:lang w:eastAsia="en-US"/>
        </w:rPr>
        <w:t xml:space="preserve"> et à la prestation de services adaptés à leurs besoins. De plus, le temps et le fardeau administratif imposés aux étudiants pourraient être réduits grâce à des mesures telles que la mise en place de systèmes d’aiguillage partagés entre les bureaux chargés de l’accessibilité, les services d’orientation professionnelle et les fournisseurs de services communautaires, sur une base volontaire et fondée sur le consentement; ou encore la création de postes dédiés à la coordination de la transition afin de faciliter le passage des étudiants en situation de handicap d’un service à l’autre et de l’école au marché du travail.</w:t>
      </w:r>
    </w:p>
    <w:p w14:paraId="2BCF8AED" w14:textId="171A633C" w:rsidR="006A328E" w:rsidRPr="00CF0C7D" w:rsidRDefault="00C35F98" w:rsidP="006A328E">
      <w:pPr>
        <w:pStyle w:val="Heading2"/>
        <w:rPr>
          <w:lang w:eastAsia="en-US"/>
        </w:rPr>
      </w:pPr>
      <w:bookmarkStart w:id="27" w:name="_Toc233210519"/>
      <w:r w:rsidRPr="00CF0C7D">
        <w:rPr>
          <w:lang w:eastAsia="en-US"/>
        </w:rPr>
        <w:t>Limites et orientations futures</w:t>
      </w:r>
      <w:bookmarkEnd w:id="27"/>
    </w:p>
    <w:p w14:paraId="62627BF8" w14:textId="0A1F6EC8" w:rsidR="00C35F98" w:rsidRPr="00CF0C7D" w:rsidRDefault="00C35F98" w:rsidP="00C35F98">
      <w:pPr>
        <w:rPr>
          <w:lang w:eastAsia="en-US"/>
        </w:rPr>
      </w:pPr>
      <w:r w:rsidRPr="00CF0C7D">
        <w:rPr>
          <w:lang w:eastAsia="en-US"/>
        </w:rPr>
        <w:t xml:space="preserve">Au début du projet, nos objectifs consistaient à recruter environ 1 000 participants pour le sondage de référence, dont un sous-groupe d’environ 10 % serait invité à participer aux groupes de discussion à mi-parcours, avec un taux de réponse prévu de 20 à 30 % pour </w:t>
      </w:r>
      <w:r w:rsidR="00732F74" w:rsidRPr="00CF0C7D">
        <w:rPr>
          <w:lang w:eastAsia="en-US"/>
        </w:rPr>
        <w:t xml:space="preserve">l’enquête </w:t>
      </w:r>
      <w:r w:rsidRPr="00CF0C7D">
        <w:rPr>
          <w:lang w:eastAsia="en-US"/>
        </w:rPr>
        <w:t xml:space="preserve">de suivi. Des difficultés de recrutement, notamment des réponses suspectes, frauduleuses et/ou répétitives, ainsi qu’un recrutement plus lent que prévu par l’intermédiaire des canaux </w:t>
      </w:r>
      <w:r w:rsidRPr="00CF0C7D">
        <w:rPr>
          <w:lang w:eastAsia="en-US"/>
        </w:rPr>
        <w:lastRenderedPageBreak/>
        <w:t>partenaires, ont posé des défis. Il est probable que ces difficultés de recrutement aient été en grande partie dues aux défis inhérents au recrutement d’une population d’étude de niche, qui, dans ce cas, ne comprenait que des étudiants en situation de handicap à une étape précise de leur parcours postsecondaire.</w:t>
      </w:r>
    </w:p>
    <w:p w14:paraId="3972BDC9" w14:textId="6DD16F48" w:rsidR="00A2745A" w:rsidRPr="00CF0C7D" w:rsidRDefault="00C35F98" w:rsidP="00C35F98">
      <w:pPr>
        <w:rPr>
          <w:lang w:eastAsia="en-US"/>
        </w:rPr>
      </w:pPr>
      <w:r w:rsidRPr="00CF0C7D">
        <w:rPr>
          <w:lang w:eastAsia="en-US"/>
        </w:rPr>
        <w:t xml:space="preserve">La petite taille de l’échantillon de l’enquête de suivi, en particulier, a rendu difficile l’établissement de conclusions définitives dans plusieurs cas, notamment concernant l’effet possible des facteurs sociodémographiques et liés au handicap sur les résultats en matière d’emploi. Par exemple, bien que les résultats aient suggéré que les femmes et les diplômés </w:t>
      </w:r>
      <w:r w:rsidR="006F2E7D">
        <w:rPr>
          <w:lang w:eastAsia="en-US"/>
        </w:rPr>
        <w:t>blancs</w:t>
      </w:r>
      <w:r w:rsidRPr="00CF0C7D">
        <w:rPr>
          <w:lang w:eastAsia="en-US"/>
        </w:rPr>
        <w:t xml:space="preserve"> </w:t>
      </w:r>
      <w:r w:rsidR="0045247B">
        <w:rPr>
          <w:lang w:eastAsia="en-US"/>
        </w:rPr>
        <w:t>en situation de handicap</w:t>
      </w:r>
      <w:r w:rsidRPr="00CF0C7D">
        <w:rPr>
          <w:lang w:eastAsia="en-US"/>
        </w:rPr>
        <w:t xml:space="preserve"> pourraient être légèrement plus susceptibles de trouver un emploi, ces résultats n’étaient pas concluants. De plus, le fait d’avoir un handicap lié à la santé mentale présentait une corrélation modérée et négative avec le salaire, mais cette corrélation n’était pas statistiquement significative. Il est plausible qu’avec un échantillon plus large, une relation significative entre le handicap lié à la santé mentale et le salaire se manifeste. Idéalement, ces résultats devraient être reproduits avec un échantillon plus large (p. ex., pour déterminer si le </w:t>
      </w:r>
      <w:r w:rsidR="00DC156C">
        <w:rPr>
          <w:lang w:eastAsia="en-US"/>
        </w:rPr>
        <w:t>genre</w:t>
      </w:r>
      <w:r w:rsidRPr="00CF0C7D">
        <w:rPr>
          <w:lang w:eastAsia="en-US"/>
        </w:rPr>
        <w:t xml:space="preserve"> et l’appartenance à un groupe racialisé sont liés aux résultats en matière d’emploi chez les diplômés </w:t>
      </w:r>
      <w:r w:rsidR="0045247B">
        <w:rPr>
          <w:lang w:eastAsia="en-US"/>
        </w:rPr>
        <w:t>en situation de handicap</w:t>
      </w:r>
      <w:r w:rsidRPr="00CF0C7D">
        <w:rPr>
          <w:lang w:eastAsia="en-US"/>
        </w:rPr>
        <w:t xml:space="preserve">, ou si les nouveaux diplômés </w:t>
      </w:r>
      <w:r w:rsidR="0045247B">
        <w:rPr>
          <w:lang w:eastAsia="en-US"/>
        </w:rPr>
        <w:t>en situation de handicap</w:t>
      </w:r>
      <w:r w:rsidRPr="00CF0C7D">
        <w:rPr>
          <w:lang w:eastAsia="en-US"/>
        </w:rPr>
        <w:t xml:space="preserve"> lié à la santé mentale obtiennent des salaires inférieurs à ceux de leurs pairs sans handicap de ce type).</w:t>
      </w:r>
    </w:p>
    <w:p w14:paraId="7E87275F" w14:textId="532947AE" w:rsidR="00C71C10" w:rsidRPr="00CF0C7D" w:rsidRDefault="00732F74" w:rsidP="00F9555F">
      <w:pPr>
        <w:rPr>
          <w:lang w:eastAsia="en-US"/>
        </w:rPr>
      </w:pPr>
      <w:r w:rsidRPr="00CF0C7D">
        <w:t xml:space="preserve">Il n’existe actuellement aucune donnée nationale récente publiée sur le délai moyen avant le premier emploi chez les diplômés de l’enseignement postsecondaire </w:t>
      </w:r>
      <w:r w:rsidR="0045247B">
        <w:t>en situation de handicap</w:t>
      </w:r>
      <w:r w:rsidRPr="00CF0C7D">
        <w:t xml:space="preserve"> par rapport à ceux qui n’en ont pas. Cependant, l’Enquête nationale sur les diplômés (NGS) recueille des renseignements détaillés sur la participation au marché du travail et les facteurs sociodémographiques, y compris le statut de handicap</w:t>
      </w:r>
      <w:r w:rsidR="00DD08B6" w:rsidRPr="00CF0C7D">
        <w:t>.</w:t>
      </w:r>
      <w:bookmarkStart w:id="28" w:name="_Ref227339240"/>
      <w:r w:rsidR="00C73CB1" w:rsidRPr="00CF0C7D">
        <w:rPr>
          <w:rStyle w:val="EndnoteReference"/>
        </w:rPr>
        <w:endnoteReference w:id="19"/>
      </w:r>
      <w:bookmarkEnd w:id="28"/>
      <w:r w:rsidR="000642B7" w:rsidRPr="00CF0C7D">
        <w:t xml:space="preserve"> </w:t>
      </w:r>
      <w:r w:rsidRPr="00CF0C7D">
        <w:t>Selon le cycle 2023 de la NGS – qui a recueilli des données auprès des diplômés de l’enseignement postsecondaire de 2020 –, un écart d’emploi d’environ quatre pour cent persiste entre les diplômés avec et sans handicap (84,1 % contre 88,3 %, respectivement). Une prochaine étape pour les recherches futures pourrait consister à analyser les données de l’ENG afin d’examiner d’autres résultats importants en matière d’emploi, tels que le délai avant le premier emploi après l’obtention du diplôme, au sein d’un vaste échantillon représentatif à l’échelle nationale. Cela permettrait de mieux comprendre certains des phénomènes identifiés dans la présente étude, ainsi que d’examiner de manière plus rigoureuse les tendances statistiques qui n’étaient pas statistiquement significatives dans cette recherche, mais qui pourraient néanmoins se manifester au sein de la population plus large des diplômés de l’enseignement postsecondaire en situation de handicap.</w:t>
      </w:r>
    </w:p>
    <w:p w14:paraId="1A56056E" w14:textId="7FB59F8D" w:rsidR="00732F74" w:rsidRPr="00CF0C7D" w:rsidRDefault="00732F74" w:rsidP="00732F74">
      <w:pPr>
        <w:rPr>
          <w:lang w:eastAsia="en-US"/>
        </w:rPr>
      </w:pPr>
      <w:r w:rsidRPr="00CF0C7D">
        <w:rPr>
          <w:lang w:eastAsia="en-US"/>
        </w:rPr>
        <w:t xml:space="preserve">En plus de combler ces lacunes et d’étudier les obstacles intersectionnels à l’équité en matière d’emploi chez les nouveaux diplômés </w:t>
      </w:r>
      <w:r w:rsidR="0045247B">
        <w:rPr>
          <w:lang w:eastAsia="en-US"/>
        </w:rPr>
        <w:t>en situation de handicap</w:t>
      </w:r>
      <w:r w:rsidRPr="00CF0C7D">
        <w:rPr>
          <w:lang w:eastAsia="en-US"/>
        </w:rPr>
        <w:t>, des recherches futures sont nécessaires pour comprendre les mécanismes à l’origine de certains des obstacles persistants auxquels les diplômés sont confrontés au cours de cette transition. Par exemple, on ne sait pas exactement pourquoi le fait d’avoir des handicaps multiples est associé à une recherche d’emploi plus longue. Il est possible que cela s’explique par le fait de se heurter à un plus grand nombre d’obstacles liés au handicap en général, ou bien que les employeurs aient une perception plus négative à l’égard de ceux qui sont perçus comme ayant des handicaps « plus graves » (bien que cette recherche ne permette pas de conclure clairement que des handicaps multiples équivalent nécessairement à un handicap plus grave).</w:t>
      </w:r>
    </w:p>
    <w:p w14:paraId="4E863F38" w14:textId="1D26758A" w:rsidR="00C50EBD" w:rsidRPr="00CF0C7D" w:rsidRDefault="00732F74" w:rsidP="00732F74">
      <w:pPr>
        <w:rPr>
          <w:lang w:eastAsia="en-US"/>
        </w:rPr>
      </w:pPr>
      <w:r w:rsidRPr="00CF0C7D">
        <w:rPr>
          <w:lang w:eastAsia="en-US"/>
        </w:rPr>
        <w:t xml:space="preserve">Des recherches appliquées sur l’impact des modèles d’apprentissage intégrés au travail accessibles sont nécessaires pour déterminer quels types de modèles de services et de stratégies sont les plus efficaces, et quels obstacles empêchent la participation. Des initiatives pilotes pourraient être menées afin d’explorer de nouvelles solutions, dans le but de mettre à l’essai et de déployer ces modèles en vue d’une adoption plus large au sein des établissements </w:t>
      </w:r>
      <w:r w:rsidRPr="00CF0C7D">
        <w:rPr>
          <w:lang w:eastAsia="en-US"/>
        </w:rPr>
        <w:lastRenderedPageBreak/>
        <w:t>d’enseignement postsecondaire. De plus, bien que les initiatives de mentorat semblent prometteuses, des recherches supplémentaires sont nécessaires pour comprendre les obstacles auxquels les jeunes font face dans la constitution de réseaux professionnels, et quelles interventions peuvent efficacement combler ces lacunes.</w:t>
      </w:r>
    </w:p>
    <w:p w14:paraId="3AFB157C" w14:textId="722E53C2" w:rsidR="00C31E3F" w:rsidRPr="00CF0C7D" w:rsidRDefault="00732F74" w:rsidP="00F9555F">
      <w:pPr>
        <w:rPr>
          <w:lang w:eastAsia="en-US"/>
        </w:rPr>
      </w:pPr>
      <w:r w:rsidRPr="00CF0C7D">
        <w:rPr>
          <w:lang w:eastAsia="en-US"/>
        </w:rPr>
        <w:t>Il existe un corpus de recherche substantiel sur les attitudes des employeurs à l’égard des travailleurs en situation de handicap.</w:t>
      </w:r>
      <w:r w:rsidR="002B20C6" w:rsidRPr="00CF0C7D">
        <w:rPr>
          <w:rStyle w:val="EndnoteReference"/>
          <w:lang w:eastAsia="en-US"/>
        </w:rPr>
        <w:endnoteReference w:id="20"/>
      </w:r>
      <w:r w:rsidR="00CF49FA" w:rsidRPr="00CF0C7D">
        <w:rPr>
          <w:lang w:eastAsia="en-US"/>
        </w:rPr>
        <w:t xml:space="preserve"> </w:t>
      </w:r>
      <w:r w:rsidRPr="00CF0C7D">
        <w:rPr>
          <w:lang w:eastAsia="en-US"/>
        </w:rPr>
        <w:t>Cependant, les recherches portant spécifiquement sur la façon dont les employeurs perçoivent les étudiants et/ou les jeunes adultes en situation de handicap sont moins nombreuses. Il s’agit là d’une lacune importante à combler dans les recherches futures, car les idées fausses liées à l’âgisme concernant la santé et la productivité des jeunes peuvent rendre les employeurs particulièrement réticents à embaucher et à offrir des mesures d’adaptation aux nouveaux diplômés en situation de handicap.</w:t>
      </w:r>
    </w:p>
    <w:p w14:paraId="7031F5FA" w14:textId="60C8ABC2" w:rsidR="006F6F96" w:rsidRPr="00CF0C7D" w:rsidRDefault="00732F74" w:rsidP="00732F74">
      <w:pPr>
        <w:rPr>
          <w:lang w:eastAsia="en-US"/>
        </w:rPr>
      </w:pPr>
      <w:r w:rsidRPr="00CF0C7D">
        <w:rPr>
          <w:lang w:eastAsia="en-US"/>
        </w:rPr>
        <w:t>Enfin, les obstacles émergents liés aux technologies disruptives – mentionnés par les participants tant dans les sondages que dans les groupes de discussion – constituent des domaines d’étude importants. Par exemple, dans quelle mesure les processus de candidature basés sur l’IA – tels que les mécanismes de présélection algorithmiques – désavantagent-ils les chercheurs d’emploi en situation de handicap? Idéalement, les recherches futures pourraient également explorer comment les technologies d’IA peuvent être mises à profit pour soutenir et aider les chercheurs d’emploi et les travailleurs en situation de handicap dans leur transition de l’école au marché du travail.</w:t>
      </w:r>
      <w:r w:rsidR="006F6F96" w:rsidRPr="00CF0C7D">
        <w:rPr>
          <w:lang w:eastAsia="en-US"/>
        </w:rPr>
        <w:br w:type="page"/>
      </w:r>
    </w:p>
    <w:p w14:paraId="00172BCD" w14:textId="77777777" w:rsidR="00701115" w:rsidRPr="00CF0C7D" w:rsidRDefault="00701115" w:rsidP="009D491B">
      <w:pPr>
        <w:pStyle w:val="Heading2"/>
        <w:rPr>
          <w:rFonts w:eastAsia="Calibri" w:cs="Calibri"/>
          <w:sz w:val="40"/>
          <w:szCs w:val="24"/>
          <w:lang w:eastAsia="en-US"/>
        </w:rPr>
      </w:pPr>
      <w:bookmarkStart w:id="29" w:name="_Toc233210520"/>
      <w:r w:rsidRPr="00CF0C7D">
        <w:rPr>
          <w:rFonts w:eastAsia="Calibri" w:cs="Calibri"/>
          <w:sz w:val="40"/>
          <w:szCs w:val="24"/>
          <w:lang w:eastAsia="en-US"/>
        </w:rPr>
        <w:lastRenderedPageBreak/>
        <w:t>Annexe 1 : Note d’orientation</w:t>
      </w:r>
      <w:bookmarkEnd w:id="29"/>
    </w:p>
    <w:p w14:paraId="09C457AA" w14:textId="0499B905" w:rsidR="00C71C10" w:rsidRPr="00CF0C7D" w:rsidRDefault="00701115" w:rsidP="009D491B">
      <w:pPr>
        <w:pStyle w:val="Heading2"/>
      </w:pPr>
      <w:bookmarkStart w:id="30" w:name="_Toc233210521"/>
      <w:r w:rsidRPr="00CF0C7D">
        <w:t xml:space="preserve">Soutenir les diplômés de l’enseignement postsecondaire </w:t>
      </w:r>
      <w:r w:rsidR="0045247B">
        <w:t>en situation de handicap</w:t>
      </w:r>
      <w:r w:rsidRPr="00CF0C7D">
        <w:t xml:space="preserve"> dans leur intégration au marché du travail</w:t>
      </w:r>
      <w:bookmarkEnd w:id="30"/>
    </w:p>
    <w:p w14:paraId="3CBBF2CE" w14:textId="233832E3" w:rsidR="009D491B" w:rsidRPr="00CF0C7D" w:rsidRDefault="00701115" w:rsidP="0046283E">
      <w:pPr>
        <w:pStyle w:val="Heading3"/>
      </w:pPr>
      <w:r w:rsidRPr="00CF0C7D">
        <w:t>Recommandations fondées sur une recherche communautaire portant sur la transition de l’enseignement postsecondaire au marché du travail pour les personnes en situation de handicap</w:t>
      </w:r>
    </w:p>
    <w:p w14:paraId="49CFBBBB" w14:textId="0E4E1A41" w:rsidR="00701115" w:rsidRPr="00CF0C7D" w:rsidRDefault="00701115" w:rsidP="00701115">
      <w:r w:rsidRPr="00CF0C7D">
        <w:t>Auteurs : Vanessa Sinclair, Ph. D., directrice de la recherche et de l’évaluation; Michelle Willson, M.A., spécialiste en évaluation</w:t>
      </w:r>
    </w:p>
    <w:p w14:paraId="4616BA25" w14:textId="6D8AE79D" w:rsidR="005C435F" w:rsidRPr="00CF0C7D" w:rsidRDefault="00701115" w:rsidP="00701115">
      <w:r w:rsidRPr="00CF0C7D">
        <w:t>Conseil canadien de la réadaptation et du travail (CCRT)</w:t>
      </w:r>
    </w:p>
    <w:p w14:paraId="1BCD7EE9" w14:textId="38F7464D" w:rsidR="0046283E" w:rsidRPr="00CF0C7D" w:rsidRDefault="005C435F" w:rsidP="005C435F">
      <w:r w:rsidRPr="00CF0C7D">
        <w:t>Ma</w:t>
      </w:r>
      <w:r w:rsidR="00701115" w:rsidRPr="00CF0C7D">
        <w:t>rs</w:t>
      </w:r>
      <w:r w:rsidRPr="00CF0C7D">
        <w:t xml:space="preserve"> 2026</w:t>
      </w:r>
    </w:p>
    <w:p w14:paraId="1EBA25D9" w14:textId="0B721FE1" w:rsidR="008A3760" w:rsidRPr="00CF0C7D" w:rsidRDefault="00212FA3" w:rsidP="008A3760">
      <w:pPr>
        <w:pStyle w:val="Heading4"/>
      </w:pPr>
      <w:r w:rsidRPr="00212FA3">
        <w:t>Sommaire</w:t>
      </w:r>
      <w:r w:rsidR="008A3760" w:rsidRPr="00CF0C7D">
        <w:t xml:space="preserve"> </w:t>
      </w:r>
    </w:p>
    <w:p w14:paraId="5576ED52" w14:textId="78321BBB" w:rsidR="00701115" w:rsidRPr="00CF0C7D" w:rsidRDefault="00701115" w:rsidP="00701115">
      <w:r w:rsidRPr="00CF0C7D">
        <w:t>Les jeunes adultes en situation de handicap sont plus nombreux que jamais à suivre des études postsecondaires, mais ils continuent de faire face à des taux de chômage plus élevés que leurs pairs sans handicap. Une recherche menée par le Conseil canadien de la réadaptation et du travail (CCRT) a révélé que les étudiants en situation de handicap du niveau postsecondaire se sentaient souvent mal préparés à intégrer le marché du travail. Après l’obtention de leur diplôme, leur recherche d’emploi prenait souvent plus de temps que prévu, et bon nombre d’entre eux avaient de la difficulté à trouver un emploi permanent à temps plein. Les nouveaux diplômés en situation de handicap ont signalé qu’il y avait peu d’emplois de niveau d’entrée disponibles, et bon nombre d’entre eux ont été victimes de discrimination de la part des employeurs.</w:t>
      </w:r>
    </w:p>
    <w:p w14:paraId="53848EE3" w14:textId="48B49745" w:rsidR="008A3760" w:rsidRPr="00CF0C7D" w:rsidRDefault="00701115" w:rsidP="00701115">
      <w:r w:rsidRPr="00CF0C7D">
        <w:t>Il s’agit d’un enjeu important pour le marché du travail canadien et les chercheurs d’emploi. Le taux de handicap chez les jeunes adultes âgés de 15 à 24 ans a augmenté de sept points de pourcentage entre 2017 et 2022. Il est essentiel pour la santé à long terme de l’économie canadienne de veiller à ce que les jeunes chercheurs d’emploi aient un accès équitable à des premières expériences de travail. Les décideurs des établissements d’enseignement postsecondaire ainsi que des différents paliers de gouvernement peuvent s’attaquer à ce problème en élargissant l’accès à des possibilités d’apprentissage en milieu de travail adaptées aux personnes en situation de handicap; en améliorant les parcours de transition de l’école au marché du travail grâce à une meilleure coordination entre les employeurs, les établissements d’enseignement et les organismes communautaires; et en renforçant les services d’orientation professionnelle offerts aux étudiants en situation de handicap.</w:t>
      </w:r>
    </w:p>
    <w:p w14:paraId="1F6A7D4C" w14:textId="2A2F0FBA" w:rsidR="008A3760" w:rsidRPr="00CF0C7D" w:rsidRDefault="00340BB6" w:rsidP="008A3760">
      <w:pPr>
        <w:pStyle w:val="Heading4"/>
      </w:pPr>
      <w:r w:rsidRPr="00CF0C7D">
        <w:t>Contexte</w:t>
      </w:r>
    </w:p>
    <w:p w14:paraId="5355967D" w14:textId="430E5043" w:rsidR="008A3760" w:rsidRPr="00CF0C7D" w:rsidRDefault="00340BB6" w:rsidP="008A3760">
      <w:r w:rsidRPr="00CF0C7D">
        <w:t>Un nombre plus élevé que jamais de personnes en situation de handicap poursuivent des études postsecondaires.</w:t>
      </w:r>
      <w:r w:rsidR="00DE17ED" w:rsidRPr="00CF0C7D">
        <w:fldChar w:fldCharType="begin"/>
      </w:r>
      <w:r w:rsidR="00DE17ED" w:rsidRPr="00CF0C7D">
        <w:instrText xml:space="preserve"> NOTEREF _Ref225512612 \f \h </w:instrText>
      </w:r>
      <w:r w:rsidR="00DE17ED" w:rsidRPr="00CF0C7D">
        <w:fldChar w:fldCharType="separate"/>
      </w:r>
      <w:r w:rsidR="007E08D9" w:rsidRPr="00CF0C7D">
        <w:rPr>
          <w:rStyle w:val="EndnoteReference"/>
        </w:rPr>
        <w:t>2</w:t>
      </w:r>
      <w:r w:rsidR="00DE17ED" w:rsidRPr="00CF0C7D">
        <w:fldChar w:fldCharType="end"/>
      </w:r>
      <w:r w:rsidR="008A3760" w:rsidRPr="00CF0C7D">
        <w:t xml:space="preserve"> </w:t>
      </w:r>
      <w:r w:rsidRPr="00CF0C7D">
        <w:t>Malgré cela, d’importants écarts en matière d’emploi persistent; les diplômés en situation de handicap sont moins susceptibles d’être embauchés ou de trouver un emploi qui exploite pleinement leurs compétences.</w:t>
      </w:r>
      <w:r w:rsidR="00DE17ED" w:rsidRPr="00CF0C7D">
        <w:fldChar w:fldCharType="begin"/>
      </w:r>
      <w:r w:rsidR="00DE17ED" w:rsidRPr="00CF0C7D">
        <w:instrText xml:space="preserve"> NOTEREF _Ref225512612 \f \h </w:instrText>
      </w:r>
      <w:r w:rsidR="00DE17ED" w:rsidRPr="00CF0C7D">
        <w:fldChar w:fldCharType="separate"/>
      </w:r>
      <w:r w:rsidR="007E08D9" w:rsidRPr="00CF0C7D">
        <w:rPr>
          <w:rStyle w:val="EndnoteReference"/>
        </w:rPr>
        <w:t>2</w:t>
      </w:r>
      <w:r w:rsidR="00DE17ED" w:rsidRPr="00CF0C7D">
        <w:fldChar w:fldCharType="end"/>
      </w:r>
      <w:r w:rsidR="008A3760" w:rsidRPr="00CF0C7D">
        <w:t xml:space="preserve"> </w:t>
      </w:r>
      <w:r w:rsidRPr="00CF0C7D">
        <w:t>Au sein des collèges et des universités, l’accessibilité des ressources de développement de carrière et d’apprentissage intégré au travail est souvent à la traîne par rapport à celle des salles de classe, et les mesures de soutien à la transition vers le marché du travail pour les diplômés en situation de handicap peuvent être insuffisantes, voire inexistantes.</w:t>
      </w:r>
      <w:r w:rsidR="00962D1D" w:rsidRPr="00CF0C7D">
        <w:fldChar w:fldCharType="begin"/>
      </w:r>
      <w:r w:rsidR="00962D1D" w:rsidRPr="00CF0C7D">
        <w:instrText xml:space="preserve"> NOTEREF _Ref224138573 \f \h </w:instrText>
      </w:r>
      <w:r w:rsidR="00962D1D" w:rsidRPr="00CF0C7D">
        <w:fldChar w:fldCharType="separate"/>
      </w:r>
      <w:r w:rsidR="007E08D9" w:rsidRPr="00CF0C7D">
        <w:rPr>
          <w:rStyle w:val="EndnoteReference"/>
        </w:rPr>
        <w:t>7</w:t>
      </w:r>
      <w:r w:rsidR="00962D1D" w:rsidRPr="00CF0C7D">
        <w:fldChar w:fldCharType="end"/>
      </w:r>
      <w:r w:rsidR="008A3760" w:rsidRPr="00CF0C7D">
        <w:t xml:space="preserve"> </w:t>
      </w:r>
      <w:r w:rsidRPr="00CF0C7D">
        <w:t>Avec la hausse des taux de handicap chez les jeunes adultes,</w:t>
      </w:r>
      <w:r w:rsidR="009B0D57" w:rsidRPr="00CF0C7D">
        <w:fldChar w:fldCharType="begin"/>
      </w:r>
      <w:r w:rsidR="009B0D57" w:rsidRPr="00CF0C7D">
        <w:instrText xml:space="preserve"> NOTEREF _Ref225533654 \f \h </w:instrText>
      </w:r>
      <w:r w:rsidR="009B0D57" w:rsidRPr="00CF0C7D">
        <w:fldChar w:fldCharType="separate"/>
      </w:r>
      <w:r w:rsidR="007E08D9" w:rsidRPr="00CF0C7D">
        <w:rPr>
          <w:rStyle w:val="EndnoteReference"/>
        </w:rPr>
        <w:t>5</w:t>
      </w:r>
      <w:r w:rsidR="009B0D57" w:rsidRPr="00CF0C7D">
        <w:fldChar w:fldCharType="end"/>
      </w:r>
      <w:r w:rsidR="008A3760" w:rsidRPr="00CF0C7D">
        <w:t xml:space="preserve"> </w:t>
      </w:r>
      <w:r w:rsidRPr="00CF0C7D">
        <w:t>combler cet écart en matière d’emploi est une priorité pour le Canada.</w:t>
      </w:r>
    </w:p>
    <w:p w14:paraId="157B1700" w14:textId="246DEAC8" w:rsidR="008A3760" w:rsidRPr="00CF0C7D" w:rsidRDefault="00340BB6" w:rsidP="008A3760">
      <w:r w:rsidRPr="00CF0C7D">
        <w:t xml:space="preserve">Une étude récente menée par le Conseil canadien de la réadaptation et du travail (CCRT) dans le cadre du projet SURF, financé par Normes d’accessibilité Canada, a examiné les obstacles et les facteurs facilitants de cette transition et a cerné des moyens d’améliorer les parcours de </w:t>
      </w:r>
      <w:r w:rsidRPr="00CF0C7D">
        <w:lastRenderedPageBreak/>
        <w:t>transition. SURF était une étude de trois ans (avril 2023 à mars 2026) portant sur les expériences des étudiants en situation de handicap lors de leur passage de l’enseignement postsecondaire au marché du travail. Près de 300 étudiants en situation de handicap sur le point d’obtenir leur diplôme dans divers établissements d’enseignement postsecondaire canadiens ont été interrogés sur leur parcours scolaire et leurs attentes concernant leur transition vers le marché du travail. Un an plus tard, près de 40 répondants ont répondu à un sondage de suivi et ont partagé leurs expériences après l’obtention de leur diplôme et lors de leur recherche d’emploi. Dix d’entre eux ont participé à un groupe de discussion et ont apporté des éclairages précieux sur leur vision de la transition de l’école au marché du travail, sur les expériences et les ressources qui les ont aidés à s’y préparer, ainsi que sur les mesures de soutien au développement de carrière offertes aux étudiants en situation de handicap au sein de leur établissement.</w:t>
      </w:r>
    </w:p>
    <w:p w14:paraId="2E2E0975" w14:textId="638B6C74" w:rsidR="008A3760" w:rsidRPr="00CF0C7D" w:rsidRDefault="00340BB6" w:rsidP="008A3760">
      <w:pPr>
        <w:pStyle w:val="Heading4"/>
      </w:pPr>
      <w:r w:rsidRPr="00CF0C7D">
        <w:t>Les défis de la transition de l’enseignement postsecondaire au marché du travail</w:t>
      </w:r>
    </w:p>
    <w:p w14:paraId="372D98A8" w14:textId="09C5BBA2" w:rsidR="008A3760" w:rsidRPr="00CF0C7D" w:rsidRDefault="00340BB6" w:rsidP="008A3760">
      <w:r w:rsidRPr="00CF0C7D">
        <w:t>Les diplômés de l’enseignement postsecondaire, en particulier les diplômés universitaires, sont confrontés à un marché du travail de plus en plus difficile : entre 2024 et 2025, le nombre d’emplois de premier échelon exigeant un baccalauréat a diminué de plus de la moitié</w:t>
      </w:r>
      <w:r w:rsidR="008A3760" w:rsidRPr="00CF0C7D">
        <w:t>.</w:t>
      </w:r>
      <w:r w:rsidR="009B0D57" w:rsidRPr="00CF0C7D">
        <w:fldChar w:fldCharType="begin"/>
      </w:r>
      <w:r w:rsidR="009B0D57" w:rsidRPr="00CF0C7D">
        <w:instrText xml:space="preserve"> NOTEREF _Ref224133131 \f \h </w:instrText>
      </w:r>
      <w:r w:rsidR="009B0D57" w:rsidRPr="00CF0C7D">
        <w:fldChar w:fldCharType="separate"/>
      </w:r>
      <w:r w:rsidR="007E08D9" w:rsidRPr="00CF0C7D">
        <w:rPr>
          <w:rStyle w:val="EndnoteReference"/>
        </w:rPr>
        <w:t>1</w:t>
      </w:r>
      <w:r w:rsidR="009B0D57" w:rsidRPr="00CF0C7D">
        <w:fldChar w:fldCharType="end"/>
      </w:r>
      <w:r w:rsidR="008A3760" w:rsidRPr="00CF0C7D">
        <w:t xml:space="preserve"> </w:t>
      </w:r>
      <w:r w:rsidRPr="00CF0C7D">
        <w:t>Pour la première fois depuis des décennies, les diplômés universitaires affichent désormais des taux d’emploi inférieurs à ceux des titulaires d’un diplôme d’études collégiales ou d’une formation professionnelle.</w:t>
      </w:r>
      <w:r w:rsidR="009B0D57" w:rsidRPr="00CF0C7D">
        <w:fldChar w:fldCharType="begin"/>
      </w:r>
      <w:r w:rsidR="009B0D57" w:rsidRPr="00CF0C7D">
        <w:instrText xml:space="preserve"> NOTEREF _Ref224133131 \f \h </w:instrText>
      </w:r>
      <w:r w:rsidR="009B0D57" w:rsidRPr="00CF0C7D">
        <w:fldChar w:fldCharType="separate"/>
      </w:r>
      <w:r w:rsidR="007E08D9" w:rsidRPr="00CF0C7D">
        <w:rPr>
          <w:rStyle w:val="EndnoteReference"/>
        </w:rPr>
        <w:t>1</w:t>
      </w:r>
      <w:r w:rsidR="009B0D57" w:rsidRPr="00CF0C7D">
        <w:fldChar w:fldCharType="end"/>
      </w:r>
      <w:r w:rsidR="008A3760" w:rsidRPr="00CF0C7D">
        <w:t xml:space="preserve"> </w:t>
      </w:r>
      <w:r w:rsidRPr="00CF0C7D">
        <w:t>Les défis auxquels font face tous les jeunes adultes qui entrent sur le marché du travail sont exacerbés pour ceux qui ont un handicap.</w:t>
      </w:r>
    </w:p>
    <w:p w14:paraId="6B4645FC" w14:textId="755820E9" w:rsidR="008A3760" w:rsidRPr="00CF0C7D" w:rsidRDefault="00340BB6" w:rsidP="008A3760">
      <w:r w:rsidRPr="00CF0C7D">
        <w:t>Les étudiants en situation de handicap participant au projet SURF avaient des attentes mitigées quant à la recherche d’emploi. Un sur six s’attendait à trouver un emploi dans le mois suivant l’obtention de son diplôme, un sur cinq prévoyait qu’il lui faudrait plus de six mois pour trouver du travail, et un nombre similaire d’étudiants pensait que cela prendrait entre 1 et 2, 2 et 3, ou 3 et 6 mois. Les étudiants en situation de handicap ont fait part d’un sentiment de manque de préparation et d’anxiété à l’idée d’entrer sur le marché du travail. Tous les étudiants ne connaissaient pas les services d’orientation professionnelle offerts par leur établissement d’enseignement postsecondaire, et ceux qui en avaient connaissance avaient des perceptions mitigées quant à leur qualité, notamment en matière d’accessibilité et de coordination avec les employeurs. Ces résultats corroborent d’autres recherches sur le décalage entre les établissements d’enseignement postsecondaire, les employeurs et les services d’emploi communautaires</w:t>
      </w:r>
      <w:r w:rsidR="008A3760" w:rsidRPr="00CF0C7D">
        <w:t>,</w:t>
      </w:r>
      <w:r w:rsidR="00852FEC" w:rsidRPr="00CF0C7D">
        <w:fldChar w:fldCharType="begin"/>
      </w:r>
      <w:r w:rsidR="00852FEC" w:rsidRPr="00CF0C7D">
        <w:instrText xml:space="preserve"> NOTEREF _Ref224138573 \f \h </w:instrText>
      </w:r>
      <w:r w:rsidR="00852FEC" w:rsidRPr="00CF0C7D">
        <w:fldChar w:fldCharType="separate"/>
      </w:r>
      <w:r w:rsidR="007E08D9" w:rsidRPr="00CF0C7D">
        <w:rPr>
          <w:rStyle w:val="EndnoteReference"/>
        </w:rPr>
        <w:t>7</w:t>
      </w:r>
      <w:r w:rsidR="00852FEC" w:rsidRPr="00CF0C7D">
        <w:fldChar w:fldCharType="end"/>
      </w:r>
      <w:r w:rsidR="008A3760" w:rsidRPr="00CF0C7D">
        <w:t xml:space="preserve"> </w:t>
      </w:r>
      <w:r w:rsidRPr="00CF0C7D">
        <w:t>ce qui se traduit par un paysage de ressources fragmenté pour les nouveaux diplômés en situation de handicap.</w:t>
      </w:r>
    </w:p>
    <w:p w14:paraId="01F7D667" w14:textId="29CDB17F" w:rsidR="008A3760" w:rsidRPr="00CF0C7D" w:rsidRDefault="00340BB6" w:rsidP="008A3760">
      <w:r w:rsidRPr="00CF0C7D">
        <w:t>Pour de nombreux diplômés de l’étude SURF, la transition vers le marché du travail n’a pas répondu à leurs attentes. Plus de la moitié ont estimé que la recherche d’emploi avait pris plus de temps qu’ils ne l’avaient prévu lors de la première enquête. Pour ceux qui étaient toujours à la recherche d’un emploi, la durée moyenne de leur recherche d’emploi depuis l’obtention de leur diplôme était d’environ 1,2 an. Il n’existe actuellement aucune donnée nationale publiée sur le délai moyen avant le premier emploi des diplômés de l’enseignement postsecondaire, qu’ils aient ou non un handicap, permettant d’établir une comparaison; toutefois, l’Enquête nationale sur les diplômés recueille des renseignements détaillés sur la participation au marché du travail et les facteurs sociodémographiques, y compris le statut de handicap.</w:t>
      </w:r>
      <w:r w:rsidR="00AB2E5B" w:rsidRPr="00CF0C7D">
        <w:fldChar w:fldCharType="begin"/>
      </w:r>
      <w:r w:rsidR="00AB2E5B" w:rsidRPr="00CF0C7D">
        <w:instrText xml:space="preserve"> NOTEREF _Ref227339240 \f \h </w:instrText>
      </w:r>
      <w:r w:rsidR="00AB2E5B" w:rsidRPr="00CF0C7D">
        <w:fldChar w:fldCharType="separate"/>
      </w:r>
      <w:r w:rsidR="007E08D9" w:rsidRPr="00CF0C7D">
        <w:rPr>
          <w:rStyle w:val="EndnoteReference"/>
        </w:rPr>
        <w:t>18</w:t>
      </w:r>
      <w:r w:rsidR="00AB2E5B" w:rsidRPr="00CF0C7D">
        <w:fldChar w:fldCharType="end"/>
      </w:r>
      <w:r w:rsidR="008A3760" w:rsidRPr="00CF0C7D">
        <w:t xml:space="preserve"> </w:t>
      </w:r>
      <w:r w:rsidR="00D67408" w:rsidRPr="00CF0C7D">
        <w:t>Les diplômés de l’étude SURF</w:t>
      </w:r>
      <w:r w:rsidRPr="00CF0C7D">
        <w:t xml:space="preserve"> présentant plus d’un handicap ont mis beaucoup plus de temps à trouver du travail. Seulement un tiers de ceux qui ont trouvé un emploi occupaient un poste permanent à temps plein.</w:t>
      </w:r>
    </w:p>
    <w:p w14:paraId="1BE8D8A7" w14:textId="5BA71727" w:rsidR="008A3760" w:rsidRPr="00CF0C7D" w:rsidRDefault="00D67408" w:rsidP="008A3760">
      <w:r w:rsidRPr="00CF0C7D">
        <w:t xml:space="preserve">Plus d’un tiers des participants à l’étude SURF ont déclaré que les offres d’emploi disponibles exigeaient plus d’expérience qu’ils n’en possédaient. Il s’agissait de l’obstacle à l’emploi le plus courant rencontré par les répondants. De plus, un quart d’entre eux ont indiqué que le manque d’emplois disponibles constituait un défi, et près d’un quart (23 %) ont déclaré avoir le sentiment </w:t>
      </w:r>
      <w:r w:rsidRPr="00CF0C7D">
        <w:lastRenderedPageBreak/>
        <w:t>de ne pas posséder les compétences professionnelles nécessaires. La stigmatisation a également constitué un obstacle pour de nombreux diplômés, 23 % d’entre eux affirmant avoir été victimes de discrimination de la part d’employeurs. Les préjugés des employeurs liés au handicap peuvent constituer un défi particulièrement important pour les jeunes adultes, car les idées fausses concernant la jeunesse et la santé peuvent conduire à minimiser ou à ignorer les besoins des jeunes personnes en situation de handicap.</w:t>
      </w:r>
      <w:r w:rsidR="00CD19A0" w:rsidRPr="00CF0C7D">
        <w:rPr>
          <w:rStyle w:val="EndnoteReference"/>
        </w:rPr>
        <w:endnoteReference w:id="21"/>
      </w:r>
      <w:r w:rsidR="00CD19A0" w:rsidRPr="00CF0C7D">
        <w:rPr>
          <w:vertAlign w:val="superscript"/>
        </w:rPr>
        <w:t>,</w:t>
      </w:r>
      <w:r w:rsidR="00CD19A0" w:rsidRPr="00CF0C7D">
        <w:rPr>
          <w:rStyle w:val="EndnoteReference"/>
        </w:rPr>
        <w:endnoteReference w:id="22"/>
      </w:r>
    </w:p>
    <w:p w14:paraId="4ECC5117" w14:textId="4EEE32F7" w:rsidR="008A3760" w:rsidRPr="00CF0C7D" w:rsidRDefault="00D67408" w:rsidP="008A3760">
      <w:r w:rsidRPr="00CF0C7D">
        <w:t>De nombreux diplômés estimaient que les occasions de réseautage et de création de relations constitueraient la ressource la plus utile pour ceux qui font leur entrée sur le marché du travail. Ces occasions pourraient inclure des salons de l’emploi, des programmes de mentorat et des réseaux de pairs, ainsi que des premières expériences professionnelles telles que des stages coopératifs, des stages ou d’autres formes d’apprentissage intégré au travail. Cela corrobore d’autres recherches suggérant que les jeunes adultes en situation de handicap pourraient disposer de réseaux de pairs et de réseaux professionnels plus restreints</w:t>
      </w:r>
      <w:r w:rsidR="008A3760" w:rsidRPr="00CF0C7D">
        <w:t>,</w:t>
      </w:r>
      <w:r w:rsidR="00CD19A0" w:rsidRPr="00CF0C7D">
        <w:fldChar w:fldCharType="begin"/>
      </w:r>
      <w:r w:rsidR="00CD19A0" w:rsidRPr="00CF0C7D">
        <w:instrText xml:space="preserve"> NOTEREF _Ref227339349 \f \h </w:instrText>
      </w:r>
      <w:r w:rsidR="00CD19A0" w:rsidRPr="00CF0C7D">
        <w:fldChar w:fldCharType="separate"/>
      </w:r>
      <w:r w:rsidR="007E08D9" w:rsidRPr="00CF0C7D">
        <w:rPr>
          <w:rStyle w:val="EndnoteReference"/>
        </w:rPr>
        <w:t>14</w:t>
      </w:r>
      <w:r w:rsidR="00CD19A0" w:rsidRPr="00CF0C7D">
        <w:fldChar w:fldCharType="end"/>
      </w:r>
      <w:r w:rsidR="008A3760" w:rsidRPr="00CF0C7D">
        <w:t xml:space="preserve"> </w:t>
      </w:r>
      <w:r w:rsidRPr="00CF0C7D">
        <w:t>ce qui rend plus difficile pour eux de trouver et d’accéder à des possibilités de carrière.</w:t>
      </w:r>
      <w:r w:rsidR="00CD19A0" w:rsidRPr="00CF0C7D">
        <w:fldChar w:fldCharType="begin"/>
      </w:r>
      <w:r w:rsidR="00CD19A0" w:rsidRPr="00CF0C7D">
        <w:instrText xml:space="preserve"> NOTEREF _Ref227339362 \f \h </w:instrText>
      </w:r>
      <w:r w:rsidR="00CD19A0" w:rsidRPr="00CF0C7D">
        <w:fldChar w:fldCharType="separate"/>
      </w:r>
      <w:r w:rsidR="007E08D9" w:rsidRPr="00CF0C7D">
        <w:rPr>
          <w:rStyle w:val="EndnoteReference"/>
        </w:rPr>
        <w:t>15</w:t>
      </w:r>
      <w:r w:rsidR="00CD19A0" w:rsidRPr="00CF0C7D">
        <w:fldChar w:fldCharType="end"/>
      </w:r>
    </w:p>
    <w:p w14:paraId="0F4FC8B5" w14:textId="156E2F82" w:rsidR="008A3760" w:rsidRPr="00CF0C7D" w:rsidRDefault="00D67408" w:rsidP="008A3760">
      <w:pPr>
        <w:pStyle w:val="Heading4"/>
      </w:pPr>
      <w:r w:rsidRPr="00CF0C7D">
        <w:t>Mesures recommandées</w:t>
      </w:r>
    </w:p>
    <w:p w14:paraId="02D38A12" w14:textId="37A155CE" w:rsidR="008A3760" w:rsidRPr="00CF0C7D" w:rsidRDefault="00D67408" w:rsidP="008A3760">
      <w:r w:rsidRPr="00CF0C7D">
        <w:t xml:space="preserve">Les conclusions de SURF et d’autres recherches sur la transition de l’enseignement postsecondaire au marché du travail révèlent un parcours difficile vers l’emploi, au cours duquel les nouveaux diplômés </w:t>
      </w:r>
      <w:r w:rsidR="0045247B">
        <w:t>en situation de handicap</w:t>
      </w:r>
      <w:r w:rsidRPr="00CF0C7D">
        <w:t xml:space="preserve"> peuvent être confrontés à de longues recherches d’emploi, à des possibilités limitées de postes de débutants, à des préjugés et à la discrimination, à un accès fragmenté aux services, ainsi qu’à un accès inégal aux possibilités de perfectionnement professionnel et aux premières expériences de travail. La section ci-dessous traduit ces conclusions en mesures recommandées à l’intention des décideurs, qui pourraient améliorer l’intégration sur le marché du travail des jeunes adultes </w:t>
      </w:r>
      <w:r w:rsidR="0045247B">
        <w:t>en situation de handicap</w:t>
      </w:r>
      <w:r w:rsidRPr="00CF0C7D">
        <w:t xml:space="preserve"> et garantir que l’enseignement postsecondaire produise des résultats équitables.</w:t>
      </w:r>
    </w:p>
    <w:p w14:paraId="08647E81" w14:textId="6A68FCFF" w:rsidR="008A3760" w:rsidRPr="00CF0C7D" w:rsidRDefault="00D67408" w:rsidP="008A3760">
      <w:pPr>
        <w:pStyle w:val="Heading5"/>
      </w:pPr>
      <w:r w:rsidRPr="00CF0C7D">
        <w:t>Élargir l’offre de possibilités d’apprentissage intégré au travail accessibles</w:t>
      </w:r>
    </w:p>
    <w:p w14:paraId="1255C38E" w14:textId="60C81BEE" w:rsidR="008A3760" w:rsidRPr="00CF0C7D" w:rsidRDefault="00D67408" w:rsidP="008A3760">
      <w:r w:rsidRPr="00CF0C7D">
        <w:t>Les premières expériences de travail contribuent à la réussite professionnelle ultérieure, mais ces possibilités ne sont pas toujours inclusives pour les étudiants en situation de handicap. Afin de lever cet obstacle et de soutenir le développement professionnel précoce des jeunes adultes en situation de handicap, il faut rendre les possibilités d’apprentissage intégré au travail disponibles et accessibles. Pour élargir l’accès aux possibilités d’apprentissage intégré au travail dans les établissements d’enseignement postsecondaire :</w:t>
      </w:r>
    </w:p>
    <w:p w14:paraId="22F1DA93" w14:textId="08A53C60" w:rsidR="00D67408" w:rsidRPr="00CF0C7D" w:rsidRDefault="00D67408">
      <w:pPr>
        <w:pStyle w:val="ListParagraph"/>
        <w:numPr>
          <w:ilvl w:val="0"/>
          <w:numId w:val="20"/>
        </w:numPr>
        <w:rPr>
          <w:lang w:val="fr-CA"/>
        </w:rPr>
      </w:pPr>
      <w:r w:rsidRPr="00CF0C7D">
        <w:rPr>
          <w:lang w:val="fr-CA"/>
        </w:rPr>
        <w:t>Établir des sources de financement dédiées aux stages, aux programmes coopératifs, aux stages pratiques, aux placements rémunérés ou à d’autres occasions d’apprentissage en milieu de travail inclusives pour les étudiants de niveau postsecondaire en situation de handicap, y compris un soutien pour les mesures d’adaptation</w:t>
      </w:r>
    </w:p>
    <w:p w14:paraId="335AF6C5" w14:textId="4D1434B6" w:rsidR="00D67408" w:rsidRPr="00CF0C7D" w:rsidRDefault="00D67408">
      <w:pPr>
        <w:pStyle w:val="ListParagraph"/>
        <w:numPr>
          <w:ilvl w:val="0"/>
          <w:numId w:val="19"/>
        </w:numPr>
        <w:rPr>
          <w:lang w:val="fr-CA"/>
        </w:rPr>
      </w:pPr>
      <w:r w:rsidRPr="00CF0C7D">
        <w:rPr>
          <w:lang w:val="fr-CA"/>
        </w:rPr>
        <w:t>Favoriser les partenariats entre les employeurs, les établissements d’enseignement et la communauté afin de faciliter le jumelage des étudiants à des placements d’apprentissage en milieu de travail, d’aider les employeurs à mettre en œuvre des mesures d’adaptation et à créer des milieux de travail inclusifs, et d’alléger le fardeau des établissements d’enseignement postsecondaire</w:t>
      </w:r>
    </w:p>
    <w:p w14:paraId="43B9B457" w14:textId="63C30E9B" w:rsidR="00D67408" w:rsidRPr="00CF0C7D" w:rsidRDefault="00D67408">
      <w:pPr>
        <w:pStyle w:val="ListParagraph"/>
        <w:numPr>
          <w:ilvl w:val="0"/>
          <w:numId w:val="19"/>
        </w:numPr>
        <w:rPr>
          <w:lang w:val="fr-CA"/>
        </w:rPr>
      </w:pPr>
      <w:r w:rsidRPr="00CF0C7D">
        <w:rPr>
          <w:lang w:val="fr-CA"/>
        </w:rPr>
        <w:t xml:space="preserve">Accroître les investissements dans la formation des employeurs sur l’inclusion des personnes en situation de handicap et l’accessibilité tout au long du cycle de vie professionnel, en mettant l’accent sur la réduction des préjugés et de la stigmatisation </w:t>
      </w:r>
    </w:p>
    <w:p w14:paraId="0EBE12BE" w14:textId="2526FCF5" w:rsidR="00D67408" w:rsidRPr="00CF0C7D" w:rsidRDefault="00D67408">
      <w:pPr>
        <w:pStyle w:val="ListParagraph"/>
        <w:numPr>
          <w:ilvl w:val="0"/>
          <w:numId w:val="19"/>
        </w:numPr>
        <w:rPr>
          <w:lang w:val="fr-CA"/>
        </w:rPr>
      </w:pPr>
      <w:r w:rsidRPr="00CF0C7D">
        <w:rPr>
          <w:lang w:val="fr-CA"/>
        </w:rPr>
        <w:t xml:space="preserve">Financer des initiatives structurées de mentorat professionnel pour les étudiants et les nouveaux diplômés en situation de handicap qui les mettent en relation avec des mentors </w:t>
      </w:r>
      <w:r w:rsidRPr="00CF0C7D">
        <w:rPr>
          <w:lang w:val="fr-CA"/>
        </w:rPr>
        <w:lastRenderedPageBreak/>
        <w:t>dans leur domaine, y compris des mentors ayant une expérience vécue du handicap, ou intégrer le mentorat professionnel dans les programmes d’emploi pour les jeunes</w:t>
      </w:r>
    </w:p>
    <w:p w14:paraId="7ED1913D" w14:textId="009123B8" w:rsidR="008A3760" w:rsidRPr="00CF0C7D" w:rsidRDefault="00D67408" w:rsidP="008A3760">
      <w:pPr>
        <w:pStyle w:val="Heading5"/>
      </w:pPr>
      <w:r w:rsidRPr="00CF0C7D">
        <w:t>Améliorer les parcours de transition grâce à une meilleure coordination des fournisseurs de services</w:t>
      </w:r>
    </w:p>
    <w:p w14:paraId="1B66B82C" w14:textId="77777777" w:rsidR="00D67408" w:rsidRPr="00CF0C7D" w:rsidRDefault="00D67408" w:rsidP="00D67408">
      <w:pPr>
        <w:spacing w:line="278" w:lineRule="auto"/>
      </w:pPr>
      <w:r w:rsidRPr="00CF0C7D">
        <w:t>Le manque d’intégration entre les établissements d’enseignement et les fournisseurs de services communautaires rend difficile pour les diplômés en situation de handicap de trouver et d’accéder aux services d’emploi. Afin d’améliorer la coordination entre les établissements d’enseignement postsecondaire et les fournisseurs de services communautaires :</w:t>
      </w:r>
    </w:p>
    <w:p w14:paraId="66BA07CB" w14:textId="62F65536" w:rsidR="00D67408" w:rsidRPr="00CF0C7D" w:rsidRDefault="00D67408">
      <w:pPr>
        <w:pStyle w:val="ListParagraph"/>
        <w:numPr>
          <w:ilvl w:val="0"/>
          <w:numId w:val="21"/>
        </w:numPr>
        <w:spacing w:line="278" w:lineRule="auto"/>
        <w:rPr>
          <w:lang w:val="fr-CA"/>
        </w:rPr>
      </w:pPr>
      <w:r w:rsidRPr="00CF0C7D">
        <w:rPr>
          <w:lang w:val="fr-CA"/>
        </w:rPr>
        <w:t>Créer des répertoires centralisés et accessibles qui répertorient les soutiens offerts aux étudiants et aux diplômés en situation de handicap, y compris les services d’orientation professionnelle des établissements d’enseignement postsecondaire, les fournisseurs de services d’emploi communautaires, ainsi que les fonds et prestations gouvernementaux pertinents</w:t>
      </w:r>
    </w:p>
    <w:p w14:paraId="09C9E9D7" w14:textId="2883B907" w:rsidR="00D67408" w:rsidRPr="00CF0C7D" w:rsidRDefault="00D67408">
      <w:pPr>
        <w:pStyle w:val="ListParagraph"/>
        <w:numPr>
          <w:ilvl w:val="0"/>
          <w:numId w:val="21"/>
        </w:numPr>
        <w:spacing w:line="278" w:lineRule="auto"/>
        <w:rPr>
          <w:lang w:val="fr-CA"/>
        </w:rPr>
      </w:pPr>
      <w:r w:rsidRPr="00CF0C7D">
        <w:rPr>
          <w:lang w:val="fr-CA"/>
        </w:rPr>
        <w:t xml:space="preserve">Mettre en place des systèmes d’orientation partagés entre les bureaux d’accessibilité des établissements d’enseignement postsecondaire et les fournisseurs de services d’emploi communautaires, sur une base volontaire, afin de réduire le fardeau bureaucratique pesant sur les nouveaux diplômés </w:t>
      </w:r>
      <w:r w:rsidR="0045247B">
        <w:rPr>
          <w:lang w:val="fr-CA"/>
        </w:rPr>
        <w:t>en situation de handicap</w:t>
      </w:r>
      <w:r w:rsidRPr="00CF0C7D">
        <w:rPr>
          <w:lang w:val="fr-CA"/>
        </w:rPr>
        <w:t xml:space="preserve"> et d’améliorer la continuité du soutien </w:t>
      </w:r>
    </w:p>
    <w:p w14:paraId="505A45F4" w14:textId="72639768" w:rsidR="00D67408" w:rsidRPr="00CF0C7D" w:rsidRDefault="00D67408">
      <w:pPr>
        <w:pStyle w:val="ListParagraph"/>
        <w:numPr>
          <w:ilvl w:val="0"/>
          <w:numId w:val="21"/>
        </w:numPr>
        <w:spacing w:line="278" w:lineRule="auto"/>
        <w:rPr>
          <w:lang w:val="fr-CA"/>
        </w:rPr>
      </w:pPr>
      <w:r w:rsidRPr="00CF0C7D">
        <w:rPr>
          <w:lang w:val="fr-CA"/>
        </w:rPr>
        <w:t xml:space="preserve">Financer des postes de coordonnateurs de transition au sein des bureaux d’accessibilité des établissements afin de faciliter la transition des </w:t>
      </w:r>
      <w:r w:rsidR="0045247B">
        <w:rPr>
          <w:lang w:val="fr-CA"/>
        </w:rPr>
        <w:t>étudiants en situation de handicap</w:t>
      </w:r>
      <w:r w:rsidRPr="00CF0C7D">
        <w:rPr>
          <w:lang w:val="fr-CA"/>
        </w:rPr>
        <w:t xml:space="preserve"> de l’école vers le milieu de travail et la communauté</w:t>
      </w:r>
    </w:p>
    <w:p w14:paraId="5C354D23" w14:textId="3142B206" w:rsidR="008A3760" w:rsidRPr="00CF0C7D" w:rsidRDefault="00D67408" w:rsidP="008A3760">
      <w:pPr>
        <w:pStyle w:val="Heading5"/>
      </w:pPr>
      <w:r w:rsidRPr="00CF0C7D">
        <w:t xml:space="preserve">Renforcer les soutiens à l’orientation professionnelle pour les </w:t>
      </w:r>
      <w:r w:rsidR="0045247B">
        <w:t>étudiants en situation de handicap</w:t>
      </w:r>
      <w:r w:rsidRPr="00CF0C7D">
        <w:t xml:space="preserve"> actuellement inscrits dans l’enseignement postsecondaire</w:t>
      </w:r>
    </w:p>
    <w:p w14:paraId="7FA26C1D" w14:textId="77777777" w:rsidR="00D67408" w:rsidRPr="00CF0C7D" w:rsidRDefault="00D67408" w:rsidP="00D67408">
      <w:pPr>
        <w:spacing w:line="278" w:lineRule="auto"/>
      </w:pPr>
      <w:r w:rsidRPr="00CF0C7D">
        <w:t>Les services d’orientation professionnelle destinés aux étudiants de niveau postsecondaire en situation de handicap peuvent présenter des lacunes en matière de qualité et de disponibilité, et faire l’objet d’une communication insuffisante. Afin de renforcer les services d’orientation professionnelle inclusifs pour les étudiants actuels :</w:t>
      </w:r>
    </w:p>
    <w:p w14:paraId="50981D0F" w14:textId="358478ED" w:rsidR="00D67408" w:rsidRPr="00CF0C7D" w:rsidRDefault="00D67408">
      <w:pPr>
        <w:pStyle w:val="ListParagraph"/>
        <w:numPr>
          <w:ilvl w:val="0"/>
          <w:numId w:val="22"/>
        </w:numPr>
        <w:spacing w:line="278" w:lineRule="auto"/>
        <w:rPr>
          <w:lang w:val="fr-CA"/>
        </w:rPr>
      </w:pPr>
      <w:r w:rsidRPr="00CF0C7D">
        <w:rPr>
          <w:lang w:val="fr-CA"/>
        </w:rPr>
        <w:t>Promouvoir et encourager une planification de carrière précoce et proactive en intégrant davantage le développement de carrière dans l’ensemble des programmes d’études postsecondaires et en veillant à ce que les étudiants soient informés des ressources disponibles</w:t>
      </w:r>
    </w:p>
    <w:p w14:paraId="769F9D1D" w14:textId="361FF08B" w:rsidR="00D67408" w:rsidRPr="00CF0C7D" w:rsidRDefault="00D67408">
      <w:pPr>
        <w:pStyle w:val="ListParagraph"/>
        <w:numPr>
          <w:ilvl w:val="0"/>
          <w:numId w:val="22"/>
        </w:numPr>
        <w:spacing w:line="278" w:lineRule="auto"/>
        <w:rPr>
          <w:lang w:val="fr-CA"/>
        </w:rPr>
      </w:pPr>
      <w:r w:rsidRPr="00CF0C7D">
        <w:rPr>
          <w:lang w:val="fr-CA"/>
        </w:rPr>
        <w:t>Investir dans la formation, l’éducation et le renforcement des capacités du personnel des services d’orientation professionnelle postsecondaires en matière d’inclusion des personnes en situation de handicap et d’accessibilité</w:t>
      </w:r>
    </w:p>
    <w:p w14:paraId="645B6B7A" w14:textId="025BD32D" w:rsidR="00D67408" w:rsidRPr="00CF0C7D" w:rsidRDefault="00D67408">
      <w:pPr>
        <w:pStyle w:val="ListParagraph"/>
        <w:numPr>
          <w:ilvl w:val="0"/>
          <w:numId w:val="22"/>
        </w:numPr>
        <w:spacing w:line="278" w:lineRule="auto"/>
        <w:rPr>
          <w:lang w:val="fr-CA"/>
        </w:rPr>
      </w:pPr>
      <w:r w:rsidRPr="00CF0C7D">
        <w:rPr>
          <w:lang w:val="fr-CA"/>
        </w:rPr>
        <w:t xml:space="preserve">Soutenir la création de réseaux de pairs pour les communautés de personnes en situation de handicap dans les établissements d’enseignement, y compris les groupes d’étudiants dirigés par des personnes en situation de handicap </w:t>
      </w:r>
    </w:p>
    <w:p w14:paraId="00C04EF8" w14:textId="17C10E30" w:rsidR="00D67408" w:rsidRPr="00CF0C7D" w:rsidRDefault="00D67408">
      <w:pPr>
        <w:pStyle w:val="ListParagraph"/>
        <w:numPr>
          <w:ilvl w:val="0"/>
          <w:numId w:val="22"/>
        </w:numPr>
        <w:spacing w:line="278" w:lineRule="auto"/>
        <w:rPr>
          <w:lang w:val="fr-CA"/>
        </w:rPr>
      </w:pPr>
      <w:r w:rsidRPr="00CF0C7D">
        <w:rPr>
          <w:lang w:val="fr-CA"/>
        </w:rPr>
        <w:t>Intégrer les principes de conception inclusive dans les programmes de développement de carrière, les programmes de formation professionnelle et les autres ressources d’orientation professionnelle afin de favoriser de manière proactive l’accessibilité et l’inclusion</w:t>
      </w:r>
    </w:p>
    <w:p w14:paraId="7A87C203" w14:textId="69015661" w:rsidR="005C435F" w:rsidRPr="00CF0C7D" w:rsidRDefault="00D67408" w:rsidP="005C435F">
      <w:r w:rsidRPr="00CF0C7D">
        <w:t xml:space="preserve">Les décideurs à tous les niveaux devraient accorder la priorité à la participation des personnes en situation de handicap et des organismes dirigés par des personnes en situation de handicap, et adopter une approche intersectionnelle dans la mise en œuvre de toutes ces </w:t>
      </w:r>
      <w:r w:rsidRPr="00CF0C7D">
        <w:lastRenderedPageBreak/>
        <w:t>recommandations afin de soutenir celles et ceux qui font face à des obstacles complexes et cumulatifs.</w:t>
      </w:r>
    </w:p>
    <w:p w14:paraId="3646F0DC" w14:textId="57C3685A" w:rsidR="00493780" w:rsidRPr="00CF0C7D" w:rsidRDefault="00493780" w:rsidP="00F9555F">
      <w:pPr>
        <w:rPr>
          <w:lang w:eastAsia="en-US"/>
        </w:rPr>
      </w:pPr>
      <w:r w:rsidRPr="00CF0C7D">
        <w:rPr>
          <w:lang w:eastAsia="en-US"/>
        </w:rPr>
        <w:br w:type="page"/>
      </w:r>
    </w:p>
    <w:p w14:paraId="5230A49C" w14:textId="39C340F0" w:rsidR="00493780" w:rsidRPr="000C7621" w:rsidRDefault="00D67408" w:rsidP="00493780">
      <w:pPr>
        <w:pStyle w:val="Heading1"/>
        <w:rPr>
          <w:rFonts w:cs="Times New Roman"/>
        </w:rPr>
      </w:pPr>
      <w:bookmarkStart w:id="31" w:name="_Toc233210522"/>
      <w:r w:rsidRPr="00CF0C7D">
        <w:rPr>
          <w:lang w:val="fr-CA"/>
        </w:rPr>
        <w:lastRenderedPageBreak/>
        <w:t>Références</w:t>
      </w:r>
      <w:bookmarkEnd w:id="31"/>
    </w:p>
    <w:sectPr w:rsidR="00493780" w:rsidRPr="000C7621" w:rsidSect="00D10C11">
      <w:headerReference w:type="default" r:id="rId18"/>
      <w:footerReference w:type="even" r:id="rId19"/>
      <w:footerReference w:type="default" r:id="rId20"/>
      <w:headerReference w:type="first" r:id="rId21"/>
      <w:footnotePr>
        <w:numFmt w:val="chicago"/>
      </w:footnotePr>
      <w:endnotePr>
        <w:numFmt w:val="decimal"/>
      </w:endnotePr>
      <w:pgSz w:w="11909" w:h="16843"/>
      <w:pgMar w:top="1440" w:right="1219" w:bottom="1440" w:left="120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E3DA1" w14:textId="77777777" w:rsidR="00E472BF" w:rsidRPr="00CF0C7D" w:rsidRDefault="00E472BF" w:rsidP="0036538D">
      <w:pPr>
        <w:spacing w:after="0" w:line="240" w:lineRule="auto"/>
      </w:pPr>
      <w:r w:rsidRPr="00CF0C7D">
        <w:separator/>
      </w:r>
    </w:p>
  </w:endnote>
  <w:endnote w:type="continuationSeparator" w:id="0">
    <w:p w14:paraId="513DCD65" w14:textId="77777777" w:rsidR="00E472BF" w:rsidRPr="00CF0C7D" w:rsidRDefault="00E472BF" w:rsidP="0036538D">
      <w:pPr>
        <w:spacing w:after="0" w:line="240" w:lineRule="auto"/>
      </w:pPr>
      <w:r w:rsidRPr="00CF0C7D">
        <w:continuationSeparator/>
      </w:r>
    </w:p>
  </w:endnote>
  <w:endnote w:type="continuationNotice" w:id="1">
    <w:p w14:paraId="7C332A4D" w14:textId="77777777" w:rsidR="00E472BF" w:rsidRPr="00CF0C7D" w:rsidRDefault="00E472BF">
      <w:pPr>
        <w:spacing w:after="0" w:line="240" w:lineRule="auto"/>
      </w:pPr>
    </w:p>
  </w:endnote>
  <w:endnote w:id="2">
    <w:p w14:paraId="2A75A08F" w14:textId="08E0DB94" w:rsidR="00A84913" w:rsidRPr="006769B9" w:rsidRDefault="00A84913" w:rsidP="00C2511A">
      <w:pPr>
        <w:spacing w:after="120"/>
        <w:ind w:left="720" w:hanging="720"/>
        <w:rPr>
          <w:szCs w:val="22"/>
          <w:lang w:val="en-US"/>
        </w:rPr>
      </w:pPr>
      <w:r w:rsidRPr="00CF0C7D">
        <w:rPr>
          <w:rStyle w:val="EndnoteReference"/>
          <w:szCs w:val="22"/>
        </w:rPr>
        <w:endnoteRef/>
      </w:r>
      <w:r w:rsidRPr="00CF0C7D">
        <w:rPr>
          <w:szCs w:val="22"/>
        </w:rPr>
        <w:t xml:space="preserve"> Nelson, P., &amp; Yang, B. (</w:t>
      </w:r>
      <w:r w:rsidR="00D67408" w:rsidRPr="00CF0C7D">
        <w:rPr>
          <w:szCs w:val="22"/>
        </w:rPr>
        <w:t>2025, 2 octobre</w:t>
      </w:r>
      <w:r w:rsidRPr="00CF0C7D">
        <w:rPr>
          <w:szCs w:val="22"/>
        </w:rPr>
        <w:t xml:space="preserve">). </w:t>
      </w:r>
      <w:r w:rsidRPr="006769B9">
        <w:rPr>
          <w:i/>
          <w:iCs/>
          <w:szCs w:val="22"/>
          <w:lang w:val="en-US"/>
        </w:rPr>
        <w:t xml:space="preserve">Eligible bachelors: Canada’s newest university graduates face an increasingly challenging job market. </w:t>
      </w:r>
      <w:r w:rsidR="00F83C32" w:rsidRPr="00CF0C7D">
        <w:rPr>
          <w:i/>
          <w:iCs/>
          <w:szCs w:val="22"/>
        </w:rPr>
        <w:t>[Diplômés admissibles : les plus récents diplômés universitaires du Canada font face à un marché du travail de plus en plus difficile].</w:t>
      </w:r>
      <w:r w:rsidR="00F83C32" w:rsidRPr="00CF0C7D">
        <w:rPr>
          <w:szCs w:val="22"/>
        </w:rPr>
        <w:t xml:space="preserve"> </w:t>
      </w:r>
      <w:r w:rsidRPr="006769B9">
        <w:rPr>
          <w:szCs w:val="22"/>
          <w:lang w:val="en-US"/>
        </w:rPr>
        <w:t xml:space="preserve">Labour Market Information Council (LMIC). </w:t>
      </w:r>
      <w:hyperlink r:id="rId1" w:history="1">
        <w:r w:rsidRPr="006769B9">
          <w:rPr>
            <w:rStyle w:val="Hyperlink"/>
            <w:szCs w:val="22"/>
            <w:lang w:val="en-US"/>
          </w:rPr>
          <w:t>https://lmic-cimt.ca/eligible-bachelors-canadas-newest-university-graduates-face-an-increasingly-challenging-job-market/</w:t>
        </w:r>
      </w:hyperlink>
    </w:p>
  </w:endnote>
  <w:endnote w:id="3">
    <w:p w14:paraId="2B6CFA35" w14:textId="692FAFF4" w:rsidR="00493780" w:rsidRPr="006769B9" w:rsidRDefault="00493780" w:rsidP="0039668E">
      <w:pPr>
        <w:spacing w:before="120" w:after="120"/>
        <w:ind w:left="720" w:hanging="720"/>
        <w:rPr>
          <w:szCs w:val="22"/>
          <w:lang w:val="en-US"/>
        </w:rPr>
      </w:pPr>
      <w:r w:rsidRPr="00CF0C7D">
        <w:rPr>
          <w:rStyle w:val="EndnoteReference"/>
          <w:szCs w:val="22"/>
        </w:rPr>
        <w:endnoteRef/>
      </w:r>
      <w:r w:rsidRPr="006769B9">
        <w:rPr>
          <w:szCs w:val="22"/>
          <w:lang w:val="en-US"/>
        </w:rPr>
        <w:t xml:space="preserve"> Chatoor, K. (2021). </w:t>
      </w:r>
      <w:r w:rsidRPr="006769B9">
        <w:rPr>
          <w:i/>
          <w:iCs/>
          <w:szCs w:val="22"/>
          <w:lang w:val="en-US"/>
        </w:rPr>
        <w:t xml:space="preserve">Postsecondary credential attainment and labour market outcomes for ontario students with disabilities. </w:t>
      </w:r>
      <w:r w:rsidR="00F83C32" w:rsidRPr="00CF0C7D">
        <w:rPr>
          <w:i/>
          <w:iCs/>
          <w:szCs w:val="22"/>
        </w:rPr>
        <w:t xml:space="preserve">[Obtention d’un titre d’études postsecondaires et résultats sur le marché du travail des étudiants ontariens en situation de handicap]. </w:t>
      </w:r>
      <w:r w:rsidRPr="006769B9">
        <w:rPr>
          <w:szCs w:val="22"/>
          <w:lang w:val="en-US"/>
        </w:rPr>
        <w:t xml:space="preserve">Toronto: Higher Education Quality Council of Ontario. </w:t>
      </w:r>
      <w:hyperlink r:id="rId2" w:history="1">
        <w:r w:rsidRPr="006769B9">
          <w:rPr>
            <w:rStyle w:val="Hyperlink"/>
            <w:szCs w:val="22"/>
            <w:lang w:val="en-US"/>
          </w:rPr>
          <w:t>https://heqco.ca/wp-content/uploads/2021/06/Postsecondary-Credential-Attainment-and-Labour-Market-Outcomes-for-Ontario-Students-with-Disabilities_FINAL.pdf</w:t>
        </w:r>
      </w:hyperlink>
    </w:p>
  </w:endnote>
  <w:endnote w:id="4">
    <w:p w14:paraId="2741B3D2" w14:textId="5954BCDC" w:rsidR="0039668E" w:rsidRPr="006769B9" w:rsidRDefault="0039668E" w:rsidP="00F83C32">
      <w:pPr>
        <w:pStyle w:val="EndnoteText"/>
        <w:spacing w:before="120"/>
        <w:ind w:left="720" w:hanging="810"/>
        <w:rPr>
          <w:sz w:val="22"/>
          <w:szCs w:val="22"/>
          <w:lang w:val="en-US"/>
        </w:rPr>
      </w:pPr>
      <w:r w:rsidRPr="00CF0C7D">
        <w:rPr>
          <w:rStyle w:val="EndnoteReference"/>
          <w:sz w:val="22"/>
          <w:szCs w:val="22"/>
        </w:rPr>
        <w:endnoteRef/>
      </w:r>
      <w:r w:rsidRPr="006769B9">
        <w:rPr>
          <w:sz w:val="22"/>
          <w:szCs w:val="22"/>
          <w:lang w:val="en-US"/>
        </w:rPr>
        <w:t xml:space="preserve"> Statistics Canada. (2024). National Graduates Survey, 2023 [Canada]: Class of 2020 (Version V2) [Data set].</w:t>
      </w:r>
      <w:r w:rsidR="00F83C32" w:rsidRPr="006769B9">
        <w:rPr>
          <w:sz w:val="22"/>
          <w:szCs w:val="22"/>
          <w:lang w:val="en-US"/>
        </w:rPr>
        <w:t xml:space="preserve"> </w:t>
      </w:r>
      <w:r w:rsidR="00F83C32" w:rsidRPr="00CF0C7D">
        <w:rPr>
          <w:sz w:val="22"/>
          <w:szCs w:val="22"/>
        </w:rPr>
        <w:t>[Enquête nationale auprès des diplômés, 2023 [Canada] : cohorte de 2020 (version V2) [jeu de données]].</w:t>
      </w:r>
      <w:r w:rsidRPr="00CF0C7D">
        <w:rPr>
          <w:sz w:val="22"/>
          <w:szCs w:val="22"/>
        </w:rPr>
        <w:t xml:space="preserve"> </w:t>
      </w:r>
      <w:r w:rsidRPr="006769B9">
        <w:rPr>
          <w:sz w:val="22"/>
          <w:szCs w:val="22"/>
          <w:lang w:val="en-US"/>
        </w:rPr>
        <w:t xml:space="preserve">Borealis. </w:t>
      </w:r>
      <w:hyperlink r:id="rId3" w:history="1">
        <w:r w:rsidRPr="006769B9">
          <w:rPr>
            <w:rStyle w:val="Hyperlink"/>
            <w:sz w:val="22"/>
            <w:szCs w:val="22"/>
            <w:lang w:val="en-US"/>
          </w:rPr>
          <w:t>https://doi.org/10.5683/SP3/DDEETL</w:t>
        </w:r>
      </w:hyperlink>
    </w:p>
  </w:endnote>
  <w:endnote w:id="5">
    <w:p w14:paraId="1B199868" w14:textId="0F4F6DBC" w:rsidR="00961EFC" w:rsidRPr="006769B9" w:rsidRDefault="00961EFC" w:rsidP="0039668E">
      <w:pPr>
        <w:spacing w:before="120" w:after="120"/>
        <w:ind w:left="720" w:hanging="720"/>
        <w:rPr>
          <w:szCs w:val="22"/>
          <w:lang w:val="en-US"/>
        </w:rPr>
      </w:pPr>
      <w:r w:rsidRPr="00CF0C7D">
        <w:rPr>
          <w:rStyle w:val="EndnoteReference"/>
          <w:szCs w:val="22"/>
        </w:rPr>
        <w:endnoteRef/>
      </w:r>
      <w:r w:rsidRPr="006769B9">
        <w:rPr>
          <w:szCs w:val="22"/>
          <w:lang w:val="en-US"/>
        </w:rPr>
        <w:t xml:space="preserve"> Morris, S., Fawcett, G., Brisebois, L., &amp; Hughes, J. (2018). A demographic, employment and income profile of Canadians with disabilities aged 15 years and over, 2017. </w:t>
      </w:r>
      <w:r w:rsidR="00F83C32" w:rsidRPr="00CF0C7D">
        <w:rPr>
          <w:szCs w:val="22"/>
        </w:rPr>
        <w:t xml:space="preserve">[Profil démographique, d’emploi et de revenu des Canadiens en situation de handicap âgés de 15 ans et plus, 2017]. </w:t>
      </w:r>
      <w:r w:rsidRPr="006769B9">
        <w:rPr>
          <w:szCs w:val="22"/>
          <w:lang w:val="en-US"/>
        </w:rPr>
        <w:t xml:space="preserve">Statistics Canada. </w:t>
      </w:r>
      <w:hyperlink r:id="rId4" w:history="1">
        <w:r w:rsidR="00F83C32" w:rsidRPr="006769B9">
          <w:rPr>
            <w:rStyle w:val="Hyperlink"/>
            <w:szCs w:val="22"/>
            <w:lang w:val="en-US"/>
          </w:rPr>
          <w:t>https://www150.statcan.gc.ca/n1/pub/89-654-x/89-654-x2018002-fra.htm</w:t>
        </w:r>
      </w:hyperlink>
    </w:p>
  </w:endnote>
  <w:endnote w:id="6">
    <w:p w14:paraId="0EC2AF1E" w14:textId="7924E1B6" w:rsidR="00F83C32" w:rsidRPr="006769B9" w:rsidRDefault="00493780" w:rsidP="00C2511A">
      <w:pPr>
        <w:spacing w:after="120"/>
        <w:ind w:left="720" w:hanging="720"/>
        <w:rPr>
          <w:szCs w:val="22"/>
          <w:lang w:val="en-US"/>
        </w:rPr>
      </w:pPr>
      <w:r w:rsidRPr="00CF0C7D">
        <w:rPr>
          <w:rStyle w:val="EndnoteReference"/>
          <w:szCs w:val="22"/>
        </w:rPr>
        <w:endnoteRef/>
      </w:r>
      <w:r w:rsidRPr="006769B9">
        <w:rPr>
          <w:szCs w:val="22"/>
          <w:lang w:val="en-US"/>
        </w:rPr>
        <w:t xml:space="preserve"> Hébert, B.-P., Kevins, C., Mofidi, A., Morris, S., Simionescu, D., &amp; Thicke, M. (2024). A demographic, employment and income profile of persons with disabilities aged 15 years and over in Canada, 2022 (Nos. 89-654–X). </w:t>
      </w:r>
      <w:r w:rsidRPr="006769B9">
        <w:rPr>
          <w:i/>
          <w:iCs/>
          <w:szCs w:val="22"/>
          <w:lang w:val="en-US"/>
        </w:rPr>
        <w:t>Statistics Canada</w:t>
      </w:r>
      <w:r w:rsidRPr="006769B9">
        <w:rPr>
          <w:szCs w:val="22"/>
          <w:lang w:val="en-US"/>
        </w:rPr>
        <w:t xml:space="preserve">. </w:t>
      </w:r>
      <w:hyperlink r:id="rId5" w:history="1">
        <w:r w:rsidR="00F83C32" w:rsidRPr="006769B9">
          <w:rPr>
            <w:rStyle w:val="Hyperlink"/>
            <w:lang w:val="en-US"/>
          </w:rPr>
          <w:t>https://www150.statcan.gc.ca/n1/pub/89-654-x/89-654-x2024001-fra.htm</w:t>
        </w:r>
      </w:hyperlink>
    </w:p>
  </w:endnote>
  <w:endnote w:id="7">
    <w:p w14:paraId="4480F3DB" w14:textId="17441025" w:rsidR="00BA001F" w:rsidRPr="00CF0C7D" w:rsidRDefault="00384333" w:rsidP="00C2511A">
      <w:pPr>
        <w:pStyle w:val="EndnoteText"/>
        <w:spacing w:after="120"/>
        <w:ind w:left="720" w:hanging="720"/>
        <w:rPr>
          <w:sz w:val="22"/>
          <w:szCs w:val="22"/>
        </w:rPr>
      </w:pPr>
      <w:r w:rsidRPr="00CF0C7D">
        <w:rPr>
          <w:rStyle w:val="EndnoteReference"/>
          <w:sz w:val="22"/>
          <w:szCs w:val="22"/>
        </w:rPr>
        <w:endnoteRef/>
      </w:r>
      <w:r w:rsidRPr="006769B9">
        <w:rPr>
          <w:sz w:val="22"/>
          <w:szCs w:val="22"/>
          <w:lang w:val="en-US"/>
        </w:rPr>
        <w:t xml:space="preserve"> Labour Market Information Council (2024, </w:t>
      </w:r>
      <w:r w:rsidR="00E85C44" w:rsidRPr="006769B9">
        <w:rPr>
          <w:sz w:val="22"/>
          <w:szCs w:val="22"/>
          <w:lang w:val="en-US"/>
        </w:rPr>
        <w:t>août</w:t>
      </w:r>
      <w:r w:rsidRPr="006769B9">
        <w:rPr>
          <w:sz w:val="22"/>
          <w:szCs w:val="22"/>
          <w:lang w:val="en-US"/>
        </w:rPr>
        <w:t xml:space="preserve">). </w:t>
      </w:r>
      <w:r w:rsidRPr="006769B9">
        <w:rPr>
          <w:i/>
          <w:iCs/>
          <w:sz w:val="22"/>
          <w:szCs w:val="22"/>
          <w:lang w:val="en-US"/>
        </w:rPr>
        <w:t>Labour market resilience in the face of an aging population</w:t>
      </w:r>
      <w:r w:rsidR="00F83C32" w:rsidRPr="006769B9">
        <w:rPr>
          <w:i/>
          <w:iCs/>
          <w:sz w:val="22"/>
          <w:szCs w:val="22"/>
          <w:lang w:val="en-US"/>
        </w:rPr>
        <w:t xml:space="preserve">. </w:t>
      </w:r>
      <w:r w:rsidR="00F83C32" w:rsidRPr="00CF0C7D">
        <w:rPr>
          <w:i/>
          <w:iCs/>
          <w:sz w:val="22"/>
          <w:szCs w:val="22"/>
        </w:rPr>
        <w:t>[La résilience du marché du travail face au vieillissement de la population]</w:t>
      </w:r>
      <w:r w:rsidRPr="00CF0C7D">
        <w:rPr>
          <w:i/>
          <w:iCs/>
          <w:sz w:val="22"/>
          <w:szCs w:val="22"/>
        </w:rPr>
        <w:t xml:space="preserve">. </w:t>
      </w:r>
      <w:hyperlink r:id="rId6" w:history="1">
        <w:r w:rsidR="00BA001F" w:rsidRPr="00CF0C7D">
          <w:rPr>
            <w:rStyle w:val="Hyperlink"/>
            <w:sz w:val="22"/>
            <w:szCs w:val="22"/>
          </w:rPr>
          <w:t>https://lmic-cimt.ca/labour-market-resilience-in-the-face-of-an-aging-population/</w:t>
        </w:r>
      </w:hyperlink>
    </w:p>
  </w:endnote>
  <w:endnote w:id="8">
    <w:p w14:paraId="3950B2E7" w14:textId="34FF1AED" w:rsidR="00493780" w:rsidRPr="00CF0C7D" w:rsidRDefault="00493780" w:rsidP="00C2511A">
      <w:pPr>
        <w:spacing w:after="120"/>
        <w:ind w:left="720" w:hanging="720"/>
        <w:rPr>
          <w:szCs w:val="22"/>
        </w:rPr>
      </w:pPr>
      <w:r w:rsidRPr="00CF0C7D">
        <w:rPr>
          <w:rStyle w:val="EndnoteReference"/>
          <w:szCs w:val="22"/>
        </w:rPr>
        <w:endnoteRef/>
      </w:r>
      <w:r w:rsidRPr="006769B9">
        <w:rPr>
          <w:szCs w:val="22"/>
          <w:lang w:val="en-US"/>
        </w:rPr>
        <w:t xml:space="preserve"> NEADS (2018).</w:t>
      </w:r>
      <w:r w:rsidRPr="006769B9">
        <w:rPr>
          <w:i/>
          <w:iCs/>
          <w:szCs w:val="22"/>
          <w:lang w:val="en-US"/>
        </w:rPr>
        <w:t xml:space="preserve"> Landscape of accessibility and accommodation in post-secondary education for students with disabilities: Report by the National Educational Association of Disabled Students (NEADS). </w:t>
      </w:r>
      <w:r w:rsidR="00F83C32" w:rsidRPr="00CF0C7D">
        <w:rPr>
          <w:i/>
          <w:iCs/>
          <w:szCs w:val="22"/>
        </w:rPr>
        <w:t xml:space="preserve">[Portrait de l’accessibilité et des mesures d’adaptation dans l’enseignement postsecondaire pour les étudiants en situation de handicap : rapport de l’Association nationale des étudiant(e)s handicapé(e)s au niveau postsecondaire]. </w:t>
      </w:r>
      <w:hyperlink r:id="rId7" w:history="1">
        <w:r w:rsidRPr="00CF0C7D">
          <w:rPr>
            <w:rStyle w:val="Hyperlink"/>
            <w:szCs w:val="22"/>
          </w:rPr>
          <w:t>https://www.neads.ca/en/about/media/AccessibilityandAccommodation%202018-5landscapereport.pdf</w:t>
        </w:r>
      </w:hyperlink>
    </w:p>
  </w:endnote>
  <w:endnote w:id="9">
    <w:p w14:paraId="28FF6148" w14:textId="05043EE5" w:rsidR="004A1FBC" w:rsidRPr="006769B9" w:rsidRDefault="004A1FBC" w:rsidP="00C2511A">
      <w:pPr>
        <w:spacing w:after="120"/>
        <w:ind w:left="720" w:hanging="720"/>
        <w:rPr>
          <w:rFonts w:asciiTheme="minorHAnsi" w:hAnsiTheme="minorHAnsi" w:cstheme="minorBidi"/>
          <w:szCs w:val="22"/>
          <w:lang w:val="en-US"/>
        </w:rPr>
      </w:pPr>
      <w:r w:rsidRPr="00CF0C7D">
        <w:rPr>
          <w:rStyle w:val="EndnoteReference"/>
          <w:szCs w:val="22"/>
        </w:rPr>
        <w:endnoteRef/>
      </w:r>
      <w:r w:rsidRPr="00CF0C7D">
        <w:rPr>
          <w:szCs w:val="22"/>
        </w:rPr>
        <w:t xml:space="preserve"> Bogart, K. R., Bonnett, A. K., Logan, S. W., &amp; Kallem, C. (2022). </w:t>
      </w:r>
      <w:r w:rsidRPr="006769B9">
        <w:rPr>
          <w:szCs w:val="22"/>
          <w:lang w:val="en-US"/>
        </w:rPr>
        <w:t>Intervening on Disability Attitudes through Disability Models and Contact in Psychology Education: Scholarship of Teaching and Learning in Psychology.</w:t>
      </w:r>
      <w:r w:rsidR="00F83C32" w:rsidRPr="006769B9">
        <w:rPr>
          <w:szCs w:val="22"/>
          <w:lang w:val="en-US"/>
        </w:rPr>
        <w:t xml:space="preserve"> </w:t>
      </w:r>
      <w:r w:rsidR="00F83C32" w:rsidRPr="00CF0C7D">
        <w:rPr>
          <w:szCs w:val="22"/>
        </w:rPr>
        <w:t>[Intervenir sur les attitudes à l’égard du handicap au moyen des modèles du handicap et du contact dans l’enseignement de la psychologie : recherche sur l’enseignement et l’apprentissage en psychologie].</w:t>
      </w:r>
      <w:r w:rsidRPr="00CF0C7D">
        <w:rPr>
          <w:szCs w:val="22"/>
        </w:rPr>
        <w:t xml:space="preserve"> </w:t>
      </w:r>
      <w:r w:rsidRPr="006769B9">
        <w:rPr>
          <w:i/>
          <w:iCs/>
          <w:szCs w:val="22"/>
          <w:lang w:val="en-US"/>
        </w:rPr>
        <w:t>Scholarship of Teaching and Learning in Psychology</w:t>
      </w:r>
      <w:r w:rsidRPr="006769B9">
        <w:rPr>
          <w:szCs w:val="22"/>
          <w:lang w:val="en-US"/>
        </w:rPr>
        <w:t xml:space="preserve">, </w:t>
      </w:r>
      <w:r w:rsidRPr="006769B9">
        <w:rPr>
          <w:i/>
          <w:iCs/>
          <w:szCs w:val="22"/>
          <w:lang w:val="en-US"/>
        </w:rPr>
        <w:t>8</w:t>
      </w:r>
      <w:r w:rsidRPr="006769B9">
        <w:rPr>
          <w:szCs w:val="22"/>
          <w:lang w:val="en-US"/>
        </w:rPr>
        <w:t xml:space="preserve">(1), 15–26. </w:t>
      </w:r>
      <w:hyperlink r:id="rId8" w:history="1">
        <w:r w:rsidRPr="006769B9">
          <w:rPr>
            <w:rStyle w:val="Hyperlink"/>
            <w:szCs w:val="22"/>
            <w:lang w:val="en-US"/>
          </w:rPr>
          <w:t>https://doi.org/10.1037/stl0000194</w:t>
        </w:r>
      </w:hyperlink>
    </w:p>
  </w:endnote>
  <w:endnote w:id="10">
    <w:p w14:paraId="6843C472" w14:textId="6CCDE8EB" w:rsidR="004A1FBC" w:rsidRPr="00CF0C7D" w:rsidRDefault="004A1FBC" w:rsidP="00C2511A">
      <w:pPr>
        <w:spacing w:after="120"/>
        <w:ind w:left="720" w:hanging="720"/>
        <w:rPr>
          <w:szCs w:val="22"/>
        </w:rPr>
      </w:pPr>
      <w:r w:rsidRPr="00CF0C7D">
        <w:rPr>
          <w:rStyle w:val="EndnoteReference"/>
          <w:szCs w:val="22"/>
        </w:rPr>
        <w:endnoteRef/>
      </w:r>
      <w:r w:rsidRPr="006769B9">
        <w:rPr>
          <w:szCs w:val="22"/>
          <w:lang w:val="en-US"/>
        </w:rPr>
        <w:t xml:space="preserve"> Oliver, M. (1996). </w:t>
      </w:r>
      <w:r w:rsidRPr="006769B9">
        <w:rPr>
          <w:i/>
          <w:iCs/>
          <w:szCs w:val="22"/>
          <w:lang w:val="en-US"/>
        </w:rPr>
        <w:t>Understanding disability: From theory to practice</w:t>
      </w:r>
      <w:r w:rsidR="00F83C32" w:rsidRPr="006769B9">
        <w:rPr>
          <w:i/>
          <w:iCs/>
          <w:szCs w:val="22"/>
          <w:lang w:val="en-US"/>
        </w:rPr>
        <w:t xml:space="preserve">. </w:t>
      </w:r>
      <w:r w:rsidR="00F83C32" w:rsidRPr="00CF0C7D">
        <w:rPr>
          <w:i/>
          <w:iCs/>
          <w:szCs w:val="22"/>
        </w:rPr>
        <w:t>[Comprendre le handicap : de la théorie à la pratique]</w:t>
      </w:r>
      <w:r w:rsidRPr="00CF0C7D">
        <w:rPr>
          <w:szCs w:val="22"/>
        </w:rPr>
        <w:t>. St. Martin’s Press.</w:t>
      </w:r>
    </w:p>
  </w:endnote>
  <w:endnote w:id="11">
    <w:p w14:paraId="4F24A875" w14:textId="50E59955" w:rsidR="00C11B6C" w:rsidRPr="00CF0C7D" w:rsidRDefault="00883CAB" w:rsidP="00F83C32">
      <w:pPr>
        <w:spacing w:after="120"/>
        <w:ind w:left="720" w:hanging="720"/>
        <w:rPr>
          <w:szCs w:val="22"/>
        </w:rPr>
      </w:pPr>
      <w:r w:rsidRPr="00CF0C7D">
        <w:rPr>
          <w:rStyle w:val="EndnoteReference"/>
          <w:szCs w:val="22"/>
        </w:rPr>
        <w:endnoteRef/>
      </w:r>
      <w:r w:rsidRPr="006769B9">
        <w:rPr>
          <w:szCs w:val="22"/>
          <w:lang w:val="en-US"/>
        </w:rPr>
        <w:t xml:space="preserve"> Statistics Canada (2023). Proportion of male and female postsecondary graduates, by field of study and International Standard Classification of Education. </w:t>
      </w:r>
      <w:r w:rsidR="00F83C32" w:rsidRPr="00CF0C7D">
        <w:rPr>
          <w:szCs w:val="22"/>
        </w:rPr>
        <w:t xml:space="preserve">[Proportion de diplômés et diplômées de l’enseignement postsecondaire, selon le domaine d’études et la Classification internationale type de l’éducation]. </w:t>
      </w:r>
      <w:hyperlink r:id="rId9" w:history="1">
        <w:r w:rsidR="00F83C32" w:rsidRPr="00CF0C7D">
          <w:rPr>
            <w:rStyle w:val="Hyperlink"/>
            <w:szCs w:val="22"/>
          </w:rPr>
          <w:t>https://www150.statcan.gc.ca/t1/tbl1/fr/tv.action?pid=3710013502&amp;request_locale=fr</w:t>
        </w:r>
      </w:hyperlink>
    </w:p>
  </w:endnote>
  <w:endnote w:id="12">
    <w:p w14:paraId="4FC59AD7" w14:textId="6F2C55F3" w:rsidR="00C11B6C" w:rsidRPr="00CF0C7D" w:rsidRDefault="00883CAB" w:rsidP="00C2511A">
      <w:pPr>
        <w:spacing w:after="120"/>
        <w:ind w:left="720" w:hanging="720"/>
        <w:rPr>
          <w:szCs w:val="22"/>
        </w:rPr>
      </w:pPr>
      <w:r w:rsidRPr="00CF0C7D">
        <w:rPr>
          <w:rStyle w:val="EndnoteReference"/>
          <w:szCs w:val="22"/>
        </w:rPr>
        <w:endnoteRef/>
      </w:r>
      <w:r w:rsidRPr="006769B9">
        <w:rPr>
          <w:szCs w:val="22"/>
          <w:lang w:val="en-US"/>
        </w:rPr>
        <w:t xml:space="preserve"> Statistics Canada (2022). LGBTQ2+ people. Canada at a Glance, 2022.</w:t>
      </w:r>
      <w:r w:rsidR="00F83C32" w:rsidRPr="006769B9">
        <w:rPr>
          <w:szCs w:val="22"/>
          <w:lang w:val="en-US"/>
        </w:rPr>
        <w:t xml:space="preserve"> </w:t>
      </w:r>
      <w:r w:rsidR="00F83C32" w:rsidRPr="00CF0C7D">
        <w:rPr>
          <w:szCs w:val="22"/>
        </w:rPr>
        <w:t xml:space="preserve">[Personnes LGBTQ2+]. </w:t>
      </w:r>
      <w:hyperlink r:id="rId10" w:history="1">
        <w:r w:rsidR="00F83C32" w:rsidRPr="00CF0C7D">
          <w:rPr>
            <w:rStyle w:val="Hyperlink"/>
            <w:szCs w:val="22"/>
          </w:rPr>
          <w:t>https://www150.statcan.gc.ca/n1/pub/12-581-x/2022001/sec6-fra.htm</w:t>
        </w:r>
      </w:hyperlink>
    </w:p>
  </w:endnote>
  <w:endnote w:id="13">
    <w:p w14:paraId="6DE35DA2" w14:textId="0654BDA3" w:rsidR="00F83C32" w:rsidRPr="006769B9" w:rsidRDefault="00883CAB" w:rsidP="00C2511A">
      <w:pPr>
        <w:spacing w:after="120"/>
        <w:ind w:left="720" w:hanging="720"/>
        <w:rPr>
          <w:szCs w:val="22"/>
          <w:lang w:val="en-US"/>
        </w:rPr>
      </w:pPr>
      <w:r w:rsidRPr="00CF0C7D">
        <w:rPr>
          <w:rStyle w:val="EndnoteReference"/>
          <w:szCs w:val="22"/>
        </w:rPr>
        <w:endnoteRef/>
      </w:r>
      <w:r w:rsidRPr="006769B9">
        <w:rPr>
          <w:szCs w:val="22"/>
          <w:lang w:val="en-US"/>
        </w:rPr>
        <w:t xml:space="preserve"> Rabinowitz, T. (2024). A profile of 2SLGBTQ+ persons with disabilities, 2022.</w:t>
      </w:r>
      <w:r w:rsidR="00F83C32" w:rsidRPr="006769B9">
        <w:rPr>
          <w:szCs w:val="22"/>
          <w:lang w:val="en-US"/>
        </w:rPr>
        <w:t xml:space="preserve"> [Profil des personnes 2ELGBTQ+ ayant une incapacité, 2022].</w:t>
      </w:r>
      <w:r w:rsidRPr="006769B9">
        <w:rPr>
          <w:szCs w:val="22"/>
          <w:lang w:val="en-US"/>
        </w:rPr>
        <w:t xml:space="preserve"> Reports on Disability and Accessibility in Canada. Statistics Canada. </w:t>
      </w:r>
      <w:hyperlink r:id="rId11" w:history="1">
        <w:r w:rsidR="00F83C32" w:rsidRPr="006769B9">
          <w:rPr>
            <w:rStyle w:val="Hyperlink"/>
            <w:szCs w:val="22"/>
            <w:lang w:val="en-US"/>
          </w:rPr>
          <w:t>https://www150.statcan.gc.ca/n1/pub/89-654-x/89-654-x2024002-fra.htm</w:t>
        </w:r>
      </w:hyperlink>
    </w:p>
  </w:endnote>
  <w:endnote w:id="14">
    <w:p w14:paraId="119A7A9C" w14:textId="39C185A9" w:rsidR="00C11B6C" w:rsidRPr="006769B9" w:rsidRDefault="00FF34DD" w:rsidP="00C2511A">
      <w:pPr>
        <w:spacing w:after="120"/>
        <w:ind w:left="720" w:hanging="720"/>
        <w:rPr>
          <w:szCs w:val="22"/>
          <w:lang w:val="en-US"/>
        </w:rPr>
      </w:pPr>
      <w:r w:rsidRPr="00CF0C7D">
        <w:rPr>
          <w:rStyle w:val="EndnoteReference"/>
          <w:szCs w:val="22"/>
        </w:rPr>
        <w:endnoteRef/>
      </w:r>
      <w:r w:rsidRPr="006769B9">
        <w:rPr>
          <w:szCs w:val="22"/>
          <w:lang w:val="en-US"/>
        </w:rPr>
        <w:t xml:space="preserve"> Moghimi, E. et al. (2023). Mental health challenges, treatment experiences, and care needs of post-secondary students: A cross-sectional mixed-methods study.</w:t>
      </w:r>
      <w:r w:rsidR="00F83C32" w:rsidRPr="006769B9">
        <w:rPr>
          <w:szCs w:val="22"/>
          <w:lang w:val="en-US"/>
        </w:rPr>
        <w:t xml:space="preserve"> </w:t>
      </w:r>
      <w:r w:rsidR="00F83C32" w:rsidRPr="00CF0C7D">
        <w:rPr>
          <w:szCs w:val="22"/>
        </w:rPr>
        <w:t>[Défis en matière de santé mentale, expériences de traitement et besoins en soins des étudiants de niveau postsecondaire : une étude transversale à méthodes mixtes].</w:t>
      </w:r>
      <w:r w:rsidRPr="00CF0C7D">
        <w:rPr>
          <w:szCs w:val="22"/>
        </w:rPr>
        <w:t xml:space="preserve"> </w:t>
      </w:r>
      <w:r w:rsidRPr="006769B9">
        <w:rPr>
          <w:i/>
          <w:iCs/>
          <w:szCs w:val="22"/>
          <w:lang w:val="en-US"/>
        </w:rPr>
        <w:t>BMC Public Health, 23</w:t>
      </w:r>
      <w:r w:rsidRPr="006769B9">
        <w:rPr>
          <w:szCs w:val="22"/>
          <w:lang w:val="en-US"/>
        </w:rPr>
        <w:t xml:space="preserve">(655). </w:t>
      </w:r>
      <w:hyperlink r:id="rId12" w:history="1">
        <w:r w:rsidR="00C11B6C" w:rsidRPr="006769B9">
          <w:rPr>
            <w:rStyle w:val="Hyperlink"/>
            <w:szCs w:val="22"/>
            <w:lang w:val="en-US"/>
          </w:rPr>
          <w:t>https://doi.org/10.1186/s12889-023-15452-x</w:t>
        </w:r>
      </w:hyperlink>
    </w:p>
  </w:endnote>
  <w:endnote w:id="15">
    <w:p w14:paraId="6F3B6935" w14:textId="122AE046" w:rsidR="000D5DCE" w:rsidRPr="006769B9" w:rsidRDefault="000D5DCE" w:rsidP="00C2511A">
      <w:pPr>
        <w:pStyle w:val="EndnoteText"/>
        <w:spacing w:after="120"/>
        <w:ind w:left="720" w:hanging="720"/>
        <w:rPr>
          <w:sz w:val="22"/>
          <w:szCs w:val="22"/>
          <w:lang w:val="en-US"/>
        </w:rPr>
      </w:pPr>
      <w:r w:rsidRPr="00CF0C7D">
        <w:rPr>
          <w:rStyle w:val="EndnoteReference"/>
          <w:sz w:val="22"/>
          <w:szCs w:val="22"/>
        </w:rPr>
        <w:endnoteRef/>
      </w:r>
      <w:r w:rsidRPr="006769B9">
        <w:rPr>
          <w:sz w:val="22"/>
          <w:szCs w:val="22"/>
          <w:lang w:val="en-US"/>
        </w:rPr>
        <w:t xml:space="preserve"> Paul, T., Di Rezze, B., Rosenbaum, P., Cahill, P., Jiang, A., Kim, E., &amp; Campbell, W. (2022). Perspectives of children and youth with disabilities and special needs regarding their experiences in inclusive education: A meta-aggregative review.</w:t>
      </w:r>
      <w:r w:rsidR="00F83C32" w:rsidRPr="006769B9">
        <w:rPr>
          <w:sz w:val="22"/>
          <w:szCs w:val="22"/>
          <w:lang w:val="en-US"/>
        </w:rPr>
        <w:t xml:space="preserve"> </w:t>
      </w:r>
      <w:r w:rsidR="00F83C32" w:rsidRPr="00CF0C7D">
        <w:rPr>
          <w:sz w:val="22"/>
          <w:szCs w:val="22"/>
        </w:rPr>
        <w:t>[Points de vue des enfants et des jeunes en situation de handicap et ayant des besoins particuliers sur leurs expériences en éducation inclusive : une revue méta-agrégative].</w:t>
      </w:r>
      <w:r w:rsidRPr="00CF0C7D">
        <w:rPr>
          <w:sz w:val="22"/>
          <w:szCs w:val="22"/>
        </w:rPr>
        <w:t> </w:t>
      </w:r>
      <w:r w:rsidRPr="006769B9">
        <w:rPr>
          <w:i/>
          <w:iCs/>
          <w:sz w:val="22"/>
          <w:szCs w:val="22"/>
          <w:lang w:val="en-US"/>
        </w:rPr>
        <w:t>Frontiers in Education</w:t>
      </w:r>
      <w:r w:rsidRPr="006769B9">
        <w:rPr>
          <w:sz w:val="22"/>
          <w:szCs w:val="22"/>
          <w:lang w:val="en-US"/>
        </w:rPr>
        <w:t>, </w:t>
      </w:r>
      <w:r w:rsidRPr="006769B9">
        <w:rPr>
          <w:i/>
          <w:iCs/>
          <w:sz w:val="22"/>
          <w:szCs w:val="22"/>
          <w:lang w:val="en-US"/>
        </w:rPr>
        <w:t>7</w:t>
      </w:r>
      <w:r w:rsidRPr="006769B9">
        <w:rPr>
          <w:sz w:val="22"/>
          <w:szCs w:val="22"/>
          <w:lang w:val="en-US"/>
        </w:rPr>
        <w:t>. </w:t>
      </w:r>
      <w:hyperlink r:id="rId13" w:tgtFrame="_blank" w:history="1">
        <w:r w:rsidRPr="006769B9">
          <w:rPr>
            <w:rStyle w:val="Hyperlink"/>
            <w:sz w:val="22"/>
            <w:szCs w:val="22"/>
            <w:lang w:val="en-US"/>
          </w:rPr>
          <w:t>https://doi.org/10.3389/feduc.2022.864752</w:t>
        </w:r>
      </w:hyperlink>
    </w:p>
  </w:endnote>
  <w:endnote w:id="16">
    <w:p w14:paraId="322FEDEE" w14:textId="4B70FE30" w:rsidR="00660724" w:rsidRPr="006769B9" w:rsidRDefault="00660724" w:rsidP="00C2511A">
      <w:pPr>
        <w:pStyle w:val="EndnoteText"/>
        <w:spacing w:after="120"/>
        <w:ind w:left="720" w:hanging="720"/>
        <w:rPr>
          <w:sz w:val="22"/>
          <w:szCs w:val="22"/>
          <w:lang w:val="en-US"/>
        </w:rPr>
      </w:pPr>
      <w:r w:rsidRPr="00CF0C7D">
        <w:rPr>
          <w:rStyle w:val="EndnoteReference"/>
          <w:sz w:val="22"/>
          <w:szCs w:val="22"/>
        </w:rPr>
        <w:endnoteRef/>
      </w:r>
      <w:r w:rsidRPr="006769B9">
        <w:rPr>
          <w:sz w:val="22"/>
          <w:szCs w:val="22"/>
          <w:lang w:val="en-US"/>
        </w:rPr>
        <w:t xml:space="preserve"> Lindsay, S. (2016). A scoping review of the experiences, benefits, and challenges involved in volunteer work among youth and young adults with a disability.</w:t>
      </w:r>
      <w:r w:rsidR="00F83C32" w:rsidRPr="006769B9">
        <w:rPr>
          <w:sz w:val="22"/>
          <w:szCs w:val="22"/>
          <w:lang w:val="en-US"/>
        </w:rPr>
        <w:t xml:space="preserve"> </w:t>
      </w:r>
      <w:r w:rsidR="00F83C32" w:rsidRPr="00CF0C7D">
        <w:rPr>
          <w:sz w:val="22"/>
          <w:szCs w:val="22"/>
        </w:rPr>
        <w:t>[Examen de la portée des expériences, des avantages et des défis liés au bénévolat chez les jeunes et les jeunes adultes en situation de handicap].</w:t>
      </w:r>
      <w:r w:rsidRPr="00CF0C7D">
        <w:rPr>
          <w:sz w:val="22"/>
          <w:szCs w:val="22"/>
        </w:rPr>
        <w:t xml:space="preserve"> </w:t>
      </w:r>
      <w:r w:rsidRPr="006769B9">
        <w:rPr>
          <w:i/>
          <w:iCs/>
          <w:sz w:val="22"/>
          <w:szCs w:val="22"/>
          <w:lang w:val="en-US"/>
        </w:rPr>
        <w:t>Disability and Rehabilitation, 38</w:t>
      </w:r>
      <w:r w:rsidRPr="006769B9">
        <w:rPr>
          <w:sz w:val="22"/>
          <w:szCs w:val="22"/>
          <w:lang w:val="en-US"/>
        </w:rPr>
        <w:t xml:space="preserve">(16), 1533–1546. </w:t>
      </w:r>
      <w:hyperlink r:id="rId14" w:history="1">
        <w:r w:rsidRPr="006769B9">
          <w:rPr>
            <w:rStyle w:val="Hyperlink"/>
            <w:sz w:val="22"/>
            <w:szCs w:val="22"/>
            <w:lang w:val="en-US"/>
          </w:rPr>
          <w:t>https://doi.org/10.3109/09638288.2015.1107634</w:t>
        </w:r>
      </w:hyperlink>
    </w:p>
  </w:endnote>
  <w:endnote w:id="17">
    <w:p w14:paraId="2BC392CC" w14:textId="72A89B55" w:rsidR="00863AA8" w:rsidRPr="006769B9" w:rsidRDefault="00863AA8" w:rsidP="00C2511A">
      <w:pPr>
        <w:pStyle w:val="EndnoteText"/>
        <w:spacing w:after="120"/>
        <w:ind w:left="720" w:hanging="720"/>
        <w:rPr>
          <w:sz w:val="22"/>
          <w:szCs w:val="22"/>
          <w:lang w:val="en-US"/>
        </w:rPr>
      </w:pPr>
      <w:r w:rsidRPr="00CF0C7D">
        <w:rPr>
          <w:rStyle w:val="EndnoteReference"/>
          <w:sz w:val="22"/>
          <w:szCs w:val="22"/>
        </w:rPr>
        <w:endnoteRef/>
      </w:r>
      <w:r w:rsidRPr="006769B9">
        <w:rPr>
          <w:sz w:val="22"/>
          <w:szCs w:val="22"/>
          <w:lang w:val="en-US"/>
        </w:rPr>
        <w:t xml:space="preserve"> Sally, L., Hartman, L. R., &amp; Fellin, M. (2016). A systematic review of mentorship programs to facilitate transition to post-secondary education and employment for youth and young adults with disabilities.</w:t>
      </w:r>
      <w:r w:rsidR="00F83C32" w:rsidRPr="006769B9">
        <w:rPr>
          <w:sz w:val="22"/>
          <w:szCs w:val="22"/>
          <w:lang w:val="en-US"/>
        </w:rPr>
        <w:t xml:space="preserve"> </w:t>
      </w:r>
      <w:r w:rsidR="00F83C32" w:rsidRPr="00CF0C7D">
        <w:rPr>
          <w:sz w:val="22"/>
          <w:szCs w:val="22"/>
        </w:rPr>
        <w:t>[Revue systématique des programmes de mentorat visant à faciliter la transition vers l’enseignement postsecondaire et l’emploi pour les jeunes et les jeunes adultes en situation de handicap].</w:t>
      </w:r>
      <w:r w:rsidRPr="00CF0C7D">
        <w:rPr>
          <w:sz w:val="22"/>
          <w:szCs w:val="22"/>
        </w:rPr>
        <w:t xml:space="preserve"> </w:t>
      </w:r>
      <w:r w:rsidRPr="006769B9">
        <w:rPr>
          <w:i/>
          <w:iCs/>
          <w:sz w:val="22"/>
          <w:szCs w:val="22"/>
          <w:lang w:val="en-US"/>
        </w:rPr>
        <w:t>Disability and Rehabilitation,</w:t>
      </w:r>
      <w:r w:rsidRPr="006769B9">
        <w:rPr>
          <w:sz w:val="22"/>
          <w:szCs w:val="22"/>
          <w:lang w:val="en-US"/>
        </w:rPr>
        <w:t xml:space="preserve"> </w:t>
      </w:r>
      <w:r w:rsidRPr="006769B9">
        <w:rPr>
          <w:i/>
          <w:iCs/>
          <w:sz w:val="22"/>
          <w:szCs w:val="22"/>
          <w:lang w:val="en-US"/>
        </w:rPr>
        <w:t>38</w:t>
      </w:r>
      <w:r w:rsidRPr="006769B9">
        <w:rPr>
          <w:sz w:val="22"/>
          <w:szCs w:val="22"/>
          <w:lang w:val="en-US"/>
        </w:rPr>
        <w:t xml:space="preserve">(14), 1329-1349. </w:t>
      </w:r>
      <w:hyperlink r:id="rId15" w:history="1">
        <w:r w:rsidRPr="006769B9">
          <w:rPr>
            <w:rStyle w:val="Hyperlink"/>
            <w:sz w:val="22"/>
            <w:szCs w:val="22"/>
            <w:lang w:val="en-US"/>
          </w:rPr>
          <w:t>https://doi.org/10.3109/09638288.2015.1092174</w:t>
        </w:r>
      </w:hyperlink>
    </w:p>
  </w:endnote>
  <w:endnote w:id="18">
    <w:p w14:paraId="48C95283" w14:textId="078E350B" w:rsidR="00541BA0" w:rsidRPr="006769B9" w:rsidRDefault="00541BA0" w:rsidP="00F83C32">
      <w:pPr>
        <w:pStyle w:val="EndnoteText"/>
        <w:spacing w:after="120"/>
        <w:ind w:left="720" w:hanging="720"/>
        <w:rPr>
          <w:sz w:val="22"/>
          <w:szCs w:val="22"/>
          <w:lang w:val="en-US"/>
        </w:rPr>
      </w:pPr>
      <w:r w:rsidRPr="00CF0C7D">
        <w:rPr>
          <w:rStyle w:val="EndnoteReference"/>
          <w:sz w:val="22"/>
          <w:szCs w:val="22"/>
        </w:rPr>
        <w:endnoteRef/>
      </w:r>
      <w:r w:rsidRPr="006769B9">
        <w:rPr>
          <w:sz w:val="22"/>
          <w:szCs w:val="22"/>
          <w:lang w:val="en-US"/>
        </w:rPr>
        <w:t xml:space="preserve"> Bonaccio, S., Connelly, C. E., Gellatly, I. R., Jetha, A., &amp; Martin Ginis, K. A. (2020). The participation of people with disabilities in the workplace across the employment cycle: Employer concerns and research evidence. </w:t>
      </w:r>
      <w:r w:rsidR="00F83C32" w:rsidRPr="00CF0C7D">
        <w:rPr>
          <w:sz w:val="22"/>
          <w:szCs w:val="22"/>
        </w:rPr>
        <w:t xml:space="preserve">[La participation des personnes en situation de handicap en milieu de travail tout au long du cycle d’emploi : préoccupations des employeurs et données probantes issues de la recherche]. </w:t>
      </w:r>
      <w:r w:rsidRPr="006769B9">
        <w:rPr>
          <w:i/>
          <w:iCs/>
          <w:sz w:val="22"/>
          <w:szCs w:val="22"/>
          <w:lang w:val="en-US"/>
        </w:rPr>
        <w:t>Journal of Business and Psychology, 35</w:t>
      </w:r>
      <w:r w:rsidRPr="006769B9">
        <w:rPr>
          <w:sz w:val="22"/>
          <w:szCs w:val="22"/>
          <w:lang w:val="en-US"/>
        </w:rPr>
        <w:t xml:space="preserve">(2), 135-158. </w:t>
      </w:r>
      <w:hyperlink r:id="rId16" w:history="1">
        <w:r w:rsidRPr="006769B9">
          <w:rPr>
            <w:rStyle w:val="Hyperlink"/>
            <w:sz w:val="22"/>
            <w:szCs w:val="22"/>
            <w:lang w:val="en-US"/>
          </w:rPr>
          <w:t>https://doi.org/10.1007/s10869-018-9602-5</w:t>
        </w:r>
      </w:hyperlink>
    </w:p>
  </w:endnote>
  <w:endnote w:id="19">
    <w:p w14:paraId="36BEEE94" w14:textId="76F23E83" w:rsidR="001A1737" w:rsidRPr="00CF0C7D" w:rsidRDefault="00C73CB1" w:rsidP="00C2511A">
      <w:pPr>
        <w:pStyle w:val="EndnoteText"/>
        <w:spacing w:after="120"/>
        <w:ind w:left="720" w:hanging="720"/>
        <w:rPr>
          <w:sz w:val="22"/>
          <w:szCs w:val="22"/>
        </w:rPr>
      </w:pPr>
      <w:r w:rsidRPr="00CF0C7D">
        <w:rPr>
          <w:rStyle w:val="EndnoteReference"/>
          <w:sz w:val="22"/>
          <w:szCs w:val="22"/>
        </w:rPr>
        <w:endnoteRef/>
      </w:r>
      <w:r w:rsidRPr="006769B9">
        <w:rPr>
          <w:sz w:val="22"/>
          <w:szCs w:val="22"/>
          <w:lang w:val="en-US"/>
        </w:rPr>
        <w:t xml:space="preserve"> Statistics Canada (2024, March 22). </w:t>
      </w:r>
      <w:r w:rsidRPr="00CF0C7D">
        <w:rPr>
          <w:sz w:val="22"/>
          <w:szCs w:val="22"/>
        </w:rPr>
        <w:t>National Graduates Survey (NGS).</w:t>
      </w:r>
      <w:r w:rsidR="001A1737" w:rsidRPr="00CF0C7D">
        <w:rPr>
          <w:sz w:val="22"/>
          <w:szCs w:val="22"/>
        </w:rPr>
        <w:t xml:space="preserve"> [Enquête nationale auprès des diplômés (END)]. </w:t>
      </w:r>
      <w:hyperlink r:id="rId17" w:history="1">
        <w:r w:rsidR="001A1737" w:rsidRPr="00CF0C7D">
          <w:rPr>
            <w:rStyle w:val="Hyperlink"/>
            <w:sz w:val="22"/>
            <w:szCs w:val="22"/>
          </w:rPr>
          <w:t>https://www23.statcan.gc.ca/imdb/p2SV_f.pl?Function=getSurvey&amp;SDDS=5012</w:t>
        </w:r>
      </w:hyperlink>
    </w:p>
  </w:endnote>
  <w:endnote w:id="20">
    <w:p w14:paraId="6478594B" w14:textId="150AA2DB" w:rsidR="002B20C6" w:rsidRPr="006769B9" w:rsidRDefault="002B20C6" w:rsidP="00CD19A0">
      <w:pPr>
        <w:pStyle w:val="EndnoteText"/>
        <w:spacing w:after="120"/>
        <w:ind w:left="720" w:hanging="720"/>
        <w:rPr>
          <w:sz w:val="22"/>
          <w:szCs w:val="22"/>
          <w:lang w:val="en-US"/>
        </w:rPr>
      </w:pPr>
      <w:r w:rsidRPr="00CF0C7D">
        <w:rPr>
          <w:rStyle w:val="EndnoteReference"/>
          <w:sz w:val="22"/>
          <w:szCs w:val="22"/>
        </w:rPr>
        <w:endnoteRef/>
      </w:r>
      <w:r w:rsidRPr="006769B9">
        <w:rPr>
          <w:sz w:val="22"/>
          <w:szCs w:val="22"/>
          <w:lang w:val="es-ES"/>
        </w:rPr>
        <w:t xml:space="preserve"> Nagtegaal, R., de Boer, N., van Berkel, R., Derks, B., &amp; Tummers, L. (2023). </w:t>
      </w:r>
      <w:r w:rsidRPr="006769B9">
        <w:rPr>
          <w:sz w:val="22"/>
          <w:szCs w:val="22"/>
          <w:lang w:val="en-US"/>
        </w:rPr>
        <w:t>Why do employers (fail to) hire people with disabilities? A systematic review of capabilities, opportunities and motivations</w:t>
      </w:r>
      <w:r w:rsidR="001A1737" w:rsidRPr="006769B9">
        <w:rPr>
          <w:sz w:val="22"/>
          <w:szCs w:val="22"/>
          <w:lang w:val="en-US"/>
        </w:rPr>
        <w:t xml:space="preserve">. </w:t>
      </w:r>
      <w:r w:rsidR="001A1737" w:rsidRPr="00CF0C7D">
        <w:rPr>
          <w:sz w:val="22"/>
          <w:szCs w:val="22"/>
        </w:rPr>
        <w:t>[Pourquoi les employeurs embauchent-ils — ou n’embauchent-ils pas — des personnes en situation de handicap? Une revue systématique des capacités, des possibilités et des motivations]</w:t>
      </w:r>
      <w:r w:rsidRPr="00CF0C7D">
        <w:rPr>
          <w:sz w:val="22"/>
          <w:szCs w:val="22"/>
        </w:rPr>
        <w:t xml:space="preserve">. </w:t>
      </w:r>
      <w:r w:rsidRPr="006769B9">
        <w:rPr>
          <w:i/>
          <w:iCs/>
          <w:sz w:val="22"/>
          <w:szCs w:val="22"/>
          <w:lang w:val="en-US"/>
        </w:rPr>
        <w:t>Journal of Occupational Rehabilitation, 33</w:t>
      </w:r>
      <w:r w:rsidRPr="006769B9">
        <w:rPr>
          <w:sz w:val="22"/>
          <w:szCs w:val="22"/>
          <w:lang w:val="en-US"/>
        </w:rPr>
        <w:t xml:space="preserve">, 329-340. </w:t>
      </w:r>
      <w:hyperlink r:id="rId18" w:history="1">
        <w:r w:rsidRPr="006769B9">
          <w:rPr>
            <w:rStyle w:val="Hyperlink"/>
            <w:sz w:val="22"/>
            <w:szCs w:val="22"/>
            <w:lang w:val="en-US"/>
          </w:rPr>
          <w:t>https://doi.org/10.1007/s10926-022-10076-1</w:t>
        </w:r>
      </w:hyperlink>
    </w:p>
  </w:endnote>
  <w:endnote w:id="21">
    <w:p w14:paraId="56099F75" w14:textId="392BF51C" w:rsidR="00CD19A0" w:rsidRPr="006769B9" w:rsidRDefault="00CD19A0" w:rsidP="00CD19A0">
      <w:pPr>
        <w:pStyle w:val="EndnoteText"/>
        <w:spacing w:after="120"/>
        <w:ind w:left="720" w:hanging="720"/>
        <w:rPr>
          <w:sz w:val="22"/>
          <w:szCs w:val="22"/>
          <w:lang w:val="en-US"/>
        </w:rPr>
      </w:pPr>
      <w:r w:rsidRPr="00CF0C7D">
        <w:rPr>
          <w:rStyle w:val="EndnoteReference"/>
          <w:sz w:val="22"/>
          <w:szCs w:val="22"/>
        </w:rPr>
        <w:endnoteRef/>
      </w:r>
      <w:r w:rsidRPr="006769B9">
        <w:rPr>
          <w:sz w:val="22"/>
          <w:szCs w:val="22"/>
          <w:lang w:val="en-US"/>
        </w:rPr>
        <w:t xml:space="preserve"> Wayland, S., Newland, J., Gill-Atkinson, L., Vaughan, C., Emerson, E., &amp; Llewellyn, G. (2022). I had every right to be there: Discriminatory acts towards young people with disabilities on public transport.</w:t>
      </w:r>
      <w:r w:rsidR="001A1737" w:rsidRPr="006769B9">
        <w:rPr>
          <w:sz w:val="22"/>
          <w:szCs w:val="22"/>
          <w:lang w:val="en-US"/>
        </w:rPr>
        <w:t xml:space="preserve"> </w:t>
      </w:r>
      <w:r w:rsidR="001A1737" w:rsidRPr="00CF0C7D">
        <w:rPr>
          <w:sz w:val="22"/>
          <w:szCs w:val="22"/>
        </w:rPr>
        <w:t>[J’avais tout à fait le droit d’être là : actes discriminatoires envers les jeunes en situation de handicap dans les transports publics].</w:t>
      </w:r>
      <w:r w:rsidRPr="00CF0C7D">
        <w:rPr>
          <w:sz w:val="22"/>
          <w:szCs w:val="22"/>
        </w:rPr>
        <w:t xml:space="preserve"> </w:t>
      </w:r>
      <w:r w:rsidRPr="006769B9">
        <w:rPr>
          <w:i/>
          <w:iCs/>
          <w:sz w:val="22"/>
          <w:szCs w:val="22"/>
          <w:lang w:val="en-US"/>
        </w:rPr>
        <w:t>Disability &amp; Society, 37</w:t>
      </w:r>
      <w:r w:rsidRPr="006769B9">
        <w:rPr>
          <w:sz w:val="22"/>
          <w:szCs w:val="22"/>
          <w:lang w:val="en-US"/>
        </w:rPr>
        <w:t xml:space="preserve">(2), 296-319. </w:t>
      </w:r>
      <w:hyperlink r:id="rId19" w:history="1">
        <w:r w:rsidRPr="006769B9">
          <w:rPr>
            <w:rStyle w:val="Hyperlink"/>
            <w:sz w:val="22"/>
            <w:szCs w:val="22"/>
            <w:lang w:val="en-US"/>
          </w:rPr>
          <w:t>https://doi.org/10.1080/09687599.2020.1822784</w:t>
        </w:r>
      </w:hyperlink>
    </w:p>
  </w:endnote>
  <w:endnote w:id="22">
    <w:p w14:paraId="59C44100" w14:textId="22955E54" w:rsidR="00CD19A0" w:rsidRPr="001A1737" w:rsidRDefault="00CD19A0" w:rsidP="00CD19A0">
      <w:pPr>
        <w:pStyle w:val="EndnoteText"/>
        <w:spacing w:after="120"/>
        <w:ind w:left="720" w:hanging="720"/>
        <w:rPr>
          <w:lang w:val="en-US"/>
        </w:rPr>
      </w:pPr>
      <w:r w:rsidRPr="00CF0C7D">
        <w:rPr>
          <w:rStyle w:val="EndnoteReference"/>
          <w:sz w:val="22"/>
          <w:szCs w:val="22"/>
        </w:rPr>
        <w:endnoteRef/>
      </w:r>
      <w:r w:rsidRPr="006769B9">
        <w:rPr>
          <w:sz w:val="22"/>
          <w:szCs w:val="22"/>
          <w:lang w:val="en-US"/>
        </w:rPr>
        <w:t xml:space="preserve"> WHO. (2021). Global report on ageism.</w:t>
      </w:r>
      <w:r w:rsidR="001A1737" w:rsidRPr="006769B9">
        <w:rPr>
          <w:sz w:val="22"/>
          <w:szCs w:val="22"/>
          <w:lang w:val="en-US"/>
        </w:rPr>
        <w:t xml:space="preserve"> [Rapport mondial sur l’âgisme].</w:t>
      </w:r>
      <w:r w:rsidRPr="006769B9">
        <w:rPr>
          <w:sz w:val="22"/>
          <w:szCs w:val="22"/>
          <w:lang w:val="en-US"/>
        </w:rPr>
        <w:t xml:space="preserve"> World Health Organization (WHO).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688540"/>
      <w:docPartObj>
        <w:docPartGallery w:val="Page Numbers (Bottom of Page)"/>
        <w:docPartUnique/>
      </w:docPartObj>
    </w:sdtPr>
    <w:sdtEndPr>
      <w:rPr>
        <w:rStyle w:val="PageNumber"/>
      </w:rPr>
    </w:sdtEndPr>
    <w:sdtContent>
      <w:p w14:paraId="3E829E32" w14:textId="5AE60758" w:rsidR="0036538D" w:rsidRPr="00CF0C7D" w:rsidRDefault="0036538D">
        <w:pPr>
          <w:pStyle w:val="Footer"/>
          <w:framePr w:wrap="none" w:vAnchor="text" w:hAnchor="margin" w:xAlign="center" w:y="1"/>
          <w:rPr>
            <w:rStyle w:val="PageNumber"/>
          </w:rPr>
        </w:pPr>
        <w:r w:rsidRPr="00CF0C7D">
          <w:rPr>
            <w:rStyle w:val="PageNumber"/>
          </w:rPr>
          <w:fldChar w:fldCharType="begin"/>
        </w:r>
        <w:r w:rsidRPr="00CF0C7D">
          <w:rPr>
            <w:rStyle w:val="PageNumber"/>
          </w:rPr>
          <w:instrText xml:space="preserve"> PAGE </w:instrText>
        </w:r>
        <w:r w:rsidRPr="00CF0C7D">
          <w:rPr>
            <w:rStyle w:val="PageNumber"/>
          </w:rPr>
          <w:fldChar w:fldCharType="end"/>
        </w:r>
      </w:p>
    </w:sdtContent>
  </w:sdt>
  <w:p w14:paraId="75CC6D1B" w14:textId="77777777" w:rsidR="0036538D" w:rsidRPr="00CF0C7D" w:rsidRDefault="00365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044483"/>
      <w:docPartObj>
        <w:docPartGallery w:val="Page Numbers (Bottom of Page)"/>
        <w:docPartUnique/>
      </w:docPartObj>
    </w:sdtPr>
    <w:sdtEndPr>
      <w:rPr>
        <w:rStyle w:val="PageNumber"/>
      </w:rPr>
    </w:sdtEndPr>
    <w:sdtContent>
      <w:p w14:paraId="0F00A164" w14:textId="2818E5EC" w:rsidR="0036538D" w:rsidRPr="00CF0C7D" w:rsidRDefault="0036538D">
        <w:pPr>
          <w:pStyle w:val="Footer"/>
          <w:framePr w:wrap="none" w:vAnchor="text" w:hAnchor="margin" w:xAlign="center" w:y="1"/>
          <w:rPr>
            <w:rStyle w:val="PageNumber"/>
          </w:rPr>
        </w:pPr>
        <w:r w:rsidRPr="00CF0C7D">
          <w:rPr>
            <w:rStyle w:val="PageNumber"/>
          </w:rPr>
          <w:fldChar w:fldCharType="begin"/>
        </w:r>
        <w:r w:rsidRPr="00CF0C7D">
          <w:rPr>
            <w:rStyle w:val="PageNumber"/>
          </w:rPr>
          <w:instrText xml:space="preserve"> PAGE </w:instrText>
        </w:r>
        <w:r w:rsidRPr="00CF0C7D">
          <w:rPr>
            <w:rStyle w:val="PageNumber"/>
          </w:rPr>
          <w:fldChar w:fldCharType="separate"/>
        </w:r>
        <w:r w:rsidRPr="00CF0C7D">
          <w:rPr>
            <w:rStyle w:val="PageNumber"/>
          </w:rPr>
          <w:t>2</w:t>
        </w:r>
        <w:r w:rsidRPr="00CF0C7D">
          <w:rPr>
            <w:rStyle w:val="PageNumber"/>
          </w:rPr>
          <w:fldChar w:fldCharType="end"/>
        </w:r>
      </w:p>
    </w:sdtContent>
  </w:sdt>
  <w:p w14:paraId="0B2CC95E" w14:textId="77777777" w:rsidR="00EF6BEB" w:rsidRPr="00CF0C7D" w:rsidRDefault="00EF6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F5C1" w14:textId="77777777" w:rsidR="00E472BF" w:rsidRPr="00CF0C7D" w:rsidRDefault="00E472BF" w:rsidP="0036538D">
      <w:pPr>
        <w:spacing w:after="0" w:line="240" w:lineRule="auto"/>
      </w:pPr>
      <w:r w:rsidRPr="00CF0C7D">
        <w:separator/>
      </w:r>
    </w:p>
  </w:footnote>
  <w:footnote w:type="continuationSeparator" w:id="0">
    <w:p w14:paraId="5A7CD1DD" w14:textId="77777777" w:rsidR="00E472BF" w:rsidRPr="00CF0C7D" w:rsidRDefault="00E472BF" w:rsidP="0036538D">
      <w:pPr>
        <w:spacing w:after="0" w:line="240" w:lineRule="auto"/>
      </w:pPr>
      <w:r w:rsidRPr="00CF0C7D">
        <w:continuationSeparator/>
      </w:r>
    </w:p>
  </w:footnote>
  <w:footnote w:type="continuationNotice" w:id="1">
    <w:p w14:paraId="7079FBEE" w14:textId="77777777" w:rsidR="00E472BF" w:rsidRPr="00CF0C7D" w:rsidRDefault="00E472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CA2A" w14:textId="79EA112E" w:rsidR="0036538D" w:rsidRPr="00CF0C7D" w:rsidRDefault="0036538D">
    <w:pPr>
      <w:pStyle w:val="Header"/>
    </w:pPr>
    <w:r w:rsidRPr="00CF0C7D">
      <w:rPr>
        <w:noProof/>
      </w:rPr>
      <w:drawing>
        <wp:inline distT="0" distB="0" distL="0" distR="0" wp14:anchorId="23A2003B" wp14:editId="63A568F1">
          <wp:extent cx="2300400" cy="665018"/>
          <wp:effectExtent l="0" t="0" r="0" b="0"/>
          <wp:docPr id="1794320207" name="Picture 17943202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60634" name="Picture 3"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40737" cy="6766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6D9E" w14:textId="0CD2975B" w:rsidR="0036538D" w:rsidRPr="00CF0C7D" w:rsidRDefault="0036538D">
    <w:pPr>
      <w:pStyle w:val="Header"/>
    </w:pPr>
    <w:r w:rsidRPr="00CF0C7D">
      <w:rPr>
        <w:noProof/>
      </w:rPr>
      <w:drawing>
        <wp:inline distT="0" distB="0" distL="0" distR="0" wp14:anchorId="060542B2" wp14:editId="605A1DCF">
          <wp:extent cx="2396249" cy="692727"/>
          <wp:effectExtent l="0" t="0" r="4445" b="6350"/>
          <wp:docPr id="170989389" name="Picture 4" descr="Logo CCRT en bleu fonc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9389" name="Picture 4" descr="Logo CCRT en bleu foncé"/>
                  <pic:cNvPicPr/>
                </pic:nvPicPr>
                <pic:blipFill>
                  <a:blip r:embed="rId1">
                    <a:extLst>
                      <a:ext uri="{28A0092B-C50C-407E-A947-70E740481C1C}">
                        <a14:useLocalDpi xmlns:a14="http://schemas.microsoft.com/office/drawing/2010/main" val="0"/>
                      </a:ext>
                    </a:extLst>
                  </a:blip>
                  <a:stretch>
                    <a:fillRect/>
                  </a:stretch>
                </pic:blipFill>
                <pic:spPr>
                  <a:xfrm>
                    <a:off x="0" y="0"/>
                    <a:ext cx="2423260" cy="700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96C"/>
    <w:multiLevelType w:val="hybridMultilevel"/>
    <w:tmpl w:val="21842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971D6"/>
    <w:multiLevelType w:val="hybridMultilevel"/>
    <w:tmpl w:val="CF64B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522FF"/>
    <w:multiLevelType w:val="hybridMultilevel"/>
    <w:tmpl w:val="D284B0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4F0696"/>
    <w:multiLevelType w:val="hybridMultilevel"/>
    <w:tmpl w:val="BE52DCD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A11E7"/>
    <w:multiLevelType w:val="hybridMultilevel"/>
    <w:tmpl w:val="E426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653F8"/>
    <w:multiLevelType w:val="hybridMultilevel"/>
    <w:tmpl w:val="4442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E31F7"/>
    <w:multiLevelType w:val="hybridMultilevel"/>
    <w:tmpl w:val="3332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A5AAA"/>
    <w:multiLevelType w:val="hybridMultilevel"/>
    <w:tmpl w:val="EA48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F671C1"/>
    <w:multiLevelType w:val="hybridMultilevel"/>
    <w:tmpl w:val="6C9A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A761B"/>
    <w:multiLevelType w:val="hybridMultilevel"/>
    <w:tmpl w:val="989E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22447"/>
    <w:multiLevelType w:val="hybridMultilevel"/>
    <w:tmpl w:val="EE803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977FE5"/>
    <w:multiLevelType w:val="hybridMultilevel"/>
    <w:tmpl w:val="F7B6B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0321C6"/>
    <w:multiLevelType w:val="hybridMultilevel"/>
    <w:tmpl w:val="D0140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29502D"/>
    <w:multiLevelType w:val="hybridMultilevel"/>
    <w:tmpl w:val="0EE4BB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5909C1"/>
    <w:multiLevelType w:val="hybridMultilevel"/>
    <w:tmpl w:val="C560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5A03F7"/>
    <w:multiLevelType w:val="hybridMultilevel"/>
    <w:tmpl w:val="7026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0512B"/>
    <w:multiLevelType w:val="hybridMultilevel"/>
    <w:tmpl w:val="6E3E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85108A"/>
    <w:multiLevelType w:val="hybridMultilevel"/>
    <w:tmpl w:val="559C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C43A20"/>
    <w:multiLevelType w:val="hybridMultilevel"/>
    <w:tmpl w:val="4EF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2B1211"/>
    <w:multiLevelType w:val="hybridMultilevel"/>
    <w:tmpl w:val="8F18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C2A15"/>
    <w:multiLevelType w:val="hybridMultilevel"/>
    <w:tmpl w:val="EA72C95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CC4975"/>
    <w:multiLevelType w:val="hybridMultilevel"/>
    <w:tmpl w:val="B816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109357">
    <w:abstractNumId w:val="0"/>
  </w:num>
  <w:num w:numId="2" w16cid:durableId="1965652682">
    <w:abstractNumId w:val="19"/>
  </w:num>
  <w:num w:numId="3" w16cid:durableId="228003342">
    <w:abstractNumId w:val="16"/>
  </w:num>
  <w:num w:numId="4" w16cid:durableId="2021203784">
    <w:abstractNumId w:val="15"/>
  </w:num>
  <w:num w:numId="5" w16cid:durableId="1061178330">
    <w:abstractNumId w:val="9"/>
  </w:num>
  <w:num w:numId="6" w16cid:durableId="76173283">
    <w:abstractNumId w:val="17"/>
  </w:num>
  <w:num w:numId="7" w16cid:durableId="1511338247">
    <w:abstractNumId w:val="5"/>
  </w:num>
  <w:num w:numId="8" w16cid:durableId="1626883851">
    <w:abstractNumId w:val="11"/>
  </w:num>
  <w:num w:numId="9" w16cid:durableId="1082338419">
    <w:abstractNumId w:val="2"/>
  </w:num>
  <w:num w:numId="10" w16cid:durableId="268243917">
    <w:abstractNumId w:val="13"/>
  </w:num>
  <w:num w:numId="11" w16cid:durableId="1466658273">
    <w:abstractNumId w:val="20"/>
  </w:num>
  <w:num w:numId="12" w16cid:durableId="1364094154">
    <w:abstractNumId w:val="3"/>
  </w:num>
  <w:num w:numId="13" w16cid:durableId="1581208138">
    <w:abstractNumId w:val="7"/>
  </w:num>
  <w:num w:numId="14" w16cid:durableId="1048726851">
    <w:abstractNumId w:val="12"/>
  </w:num>
  <w:num w:numId="15" w16cid:durableId="58527690">
    <w:abstractNumId w:val="18"/>
  </w:num>
  <w:num w:numId="16" w16cid:durableId="543103697">
    <w:abstractNumId w:val="1"/>
  </w:num>
  <w:num w:numId="17" w16cid:durableId="1642079721">
    <w:abstractNumId w:val="8"/>
  </w:num>
  <w:num w:numId="18" w16cid:durableId="2115056504">
    <w:abstractNumId w:val="10"/>
  </w:num>
  <w:num w:numId="19" w16cid:durableId="1140683270">
    <w:abstractNumId w:val="6"/>
  </w:num>
  <w:num w:numId="20" w16cid:durableId="1110011167">
    <w:abstractNumId w:val="4"/>
  </w:num>
  <w:num w:numId="21" w16cid:durableId="763189595">
    <w:abstractNumId w:val="14"/>
  </w:num>
  <w:num w:numId="22" w16cid:durableId="152393382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BA"/>
    <w:rsid w:val="0000089C"/>
    <w:rsid w:val="00001457"/>
    <w:rsid w:val="00002B8D"/>
    <w:rsid w:val="00003332"/>
    <w:rsid w:val="00011022"/>
    <w:rsid w:val="000202EA"/>
    <w:rsid w:val="00020626"/>
    <w:rsid w:val="000210EB"/>
    <w:rsid w:val="00022DDB"/>
    <w:rsid w:val="000233E1"/>
    <w:rsid w:val="0002497C"/>
    <w:rsid w:val="0002514D"/>
    <w:rsid w:val="000251D0"/>
    <w:rsid w:val="00026E5B"/>
    <w:rsid w:val="000272A5"/>
    <w:rsid w:val="0003016E"/>
    <w:rsid w:val="000317E7"/>
    <w:rsid w:val="00031C82"/>
    <w:rsid w:val="00032E73"/>
    <w:rsid w:val="00033A9A"/>
    <w:rsid w:val="00034C5B"/>
    <w:rsid w:val="000351FA"/>
    <w:rsid w:val="0003766D"/>
    <w:rsid w:val="0004086C"/>
    <w:rsid w:val="000432CC"/>
    <w:rsid w:val="000453EB"/>
    <w:rsid w:val="00045BA0"/>
    <w:rsid w:val="00045E10"/>
    <w:rsid w:val="00046159"/>
    <w:rsid w:val="0004754E"/>
    <w:rsid w:val="00047F22"/>
    <w:rsid w:val="00051474"/>
    <w:rsid w:val="0005318C"/>
    <w:rsid w:val="000557A7"/>
    <w:rsid w:val="000568BB"/>
    <w:rsid w:val="000569B5"/>
    <w:rsid w:val="00060370"/>
    <w:rsid w:val="00061621"/>
    <w:rsid w:val="000625B9"/>
    <w:rsid w:val="00062ACC"/>
    <w:rsid w:val="000642B7"/>
    <w:rsid w:val="00064630"/>
    <w:rsid w:val="00064A2A"/>
    <w:rsid w:val="0006545C"/>
    <w:rsid w:val="0006604C"/>
    <w:rsid w:val="00066EC6"/>
    <w:rsid w:val="000704DA"/>
    <w:rsid w:val="000712DD"/>
    <w:rsid w:val="0007208F"/>
    <w:rsid w:val="00072C73"/>
    <w:rsid w:val="000738E4"/>
    <w:rsid w:val="00073F88"/>
    <w:rsid w:val="0007479A"/>
    <w:rsid w:val="000748A1"/>
    <w:rsid w:val="00074B64"/>
    <w:rsid w:val="00077325"/>
    <w:rsid w:val="00077F70"/>
    <w:rsid w:val="0008104A"/>
    <w:rsid w:val="00081B1F"/>
    <w:rsid w:val="00084789"/>
    <w:rsid w:val="00085561"/>
    <w:rsid w:val="000855D0"/>
    <w:rsid w:val="0008622B"/>
    <w:rsid w:val="00090686"/>
    <w:rsid w:val="00091334"/>
    <w:rsid w:val="00091C3E"/>
    <w:rsid w:val="000A371C"/>
    <w:rsid w:val="000A3F1E"/>
    <w:rsid w:val="000A419A"/>
    <w:rsid w:val="000A499D"/>
    <w:rsid w:val="000A4A13"/>
    <w:rsid w:val="000A696C"/>
    <w:rsid w:val="000A75CE"/>
    <w:rsid w:val="000A77E1"/>
    <w:rsid w:val="000A7F6F"/>
    <w:rsid w:val="000B798A"/>
    <w:rsid w:val="000B7D66"/>
    <w:rsid w:val="000C20E4"/>
    <w:rsid w:val="000C22B6"/>
    <w:rsid w:val="000C3695"/>
    <w:rsid w:val="000C3C1E"/>
    <w:rsid w:val="000C42F6"/>
    <w:rsid w:val="000C5ECF"/>
    <w:rsid w:val="000C72D7"/>
    <w:rsid w:val="000C7621"/>
    <w:rsid w:val="000C7AEF"/>
    <w:rsid w:val="000D3BB8"/>
    <w:rsid w:val="000D475A"/>
    <w:rsid w:val="000D47E7"/>
    <w:rsid w:val="000D5DCE"/>
    <w:rsid w:val="000D7600"/>
    <w:rsid w:val="000E0148"/>
    <w:rsid w:val="000E3C5E"/>
    <w:rsid w:val="000E4654"/>
    <w:rsid w:val="000E509D"/>
    <w:rsid w:val="000E7284"/>
    <w:rsid w:val="000E7852"/>
    <w:rsid w:val="000F263A"/>
    <w:rsid w:val="000F2E3C"/>
    <w:rsid w:val="000F46BF"/>
    <w:rsid w:val="000F53BD"/>
    <w:rsid w:val="000F5B92"/>
    <w:rsid w:val="001002E5"/>
    <w:rsid w:val="00101D3A"/>
    <w:rsid w:val="00102694"/>
    <w:rsid w:val="0010303B"/>
    <w:rsid w:val="00106A0C"/>
    <w:rsid w:val="001141A2"/>
    <w:rsid w:val="001144D4"/>
    <w:rsid w:val="00116D02"/>
    <w:rsid w:val="00117003"/>
    <w:rsid w:val="00117A84"/>
    <w:rsid w:val="0012036A"/>
    <w:rsid w:val="00122796"/>
    <w:rsid w:val="0012361A"/>
    <w:rsid w:val="001244A5"/>
    <w:rsid w:val="001250ED"/>
    <w:rsid w:val="00125E53"/>
    <w:rsid w:val="00127551"/>
    <w:rsid w:val="0013129C"/>
    <w:rsid w:val="001316C1"/>
    <w:rsid w:val="00131A65"/>
    <w:rsid w:val="00134181"/>
    <w:rsid w:val="00135555"/>
    <w:rsid w:val="00136189"/>
    <w:rsid w:val="00137CFE"/>
    <w:rsid w:val="00145002"/>
    <w:rsid w:val="00145750"/>
    <w:rsid w:val="00150092"/>
    <w:rsid w:val="00152ABE"/>
    <w:rsid w:val="00153C34"/>
    <w:rsid w:val="0015460F"/>
    <w:rsid w:val="00155B8A"/>
    <w:rsid w:val="00156168"/>
    <w:rsid w:val="00157B3C"/>
    <w:rsid w:val="0016160F"/>
    <w:rsid w:val="00162C14"/>
    <w:rsid w:val="00163DC0"/>
    <w:rsid w:val="0016432B"/>
    <w:rsid w:val="001658F4"/>
    <w:rsid w:val="00167F67"/>
    <w:rsid w:val="00171191"/>
    <w:rsid w:val="00171EFC"/>
    <w:rsid w:val="00172409"/>
    <w:rsid w:val="00172A30"/>
    <w:rsid w:val="00173104"/>
    <w:rsid w:val="00174F45"/>
    <w:rsid w:val="001754C9"/>
    <w:rsid w:val="00175EBF"/>
    <w:rsid w:val="001763F6"/>
    <w:rsid w:val="00176C10"/>
    <w:rsid w:val="001772AD"/>
    <w:rsid w:val="00180ECB"/>
    <w:rsid w:val="00182EAE"/>
    <w:rsid w:val="00190328"/>
    <w:rsid w:val="0019045E"/>
    <w:rsid w:val="00191035"/>
    <w:rsid w:val="00194286"/>
    <w:rsid w:val="00195B11"/>
    <w:rsid w:val="001960B3"/>
    <w:rsid w:val="0019685F"/>
    <w:rsid w:val="00196D65"/>
    <w:rsid w:val="00197E64"/>
    <w:rsid w:val="001A059E"/>
    <w:rsid w:val="001A0A7A"/>
    <w:rsid w:val="001A1737"/>
    <w:rsid w:val="001A28B1"/>
    <w:rsid w:val="001A2A32"/>
    <w:rsid w:val="001A57A7"/>
    <w:rsid w:val="001A72B1"/>
    <w:rsid w:val="001B01BD"/>
    <w:rsid w:val="001B3635"/>
    <w:rsid w:val="001B41D3"/>
    <w:rsid w:val="001B5707"/>
    <w:rsid w:val="001B7133"/>
    <w:rsid w:val="001B7B46"/>
    <w:rsid w:val="001B7D59"/>
    <w:rsid w:val="001C0FD1"/>
    <w:rsid w:val="001C0FD4"/>
    <w:rsid w:val="001C1126"/>
    <w:rsid w:val="001C154A"/>
    <w:rsid w:val="001C1D34"/>
    <w:rsid w:val="001C4107"/>
    <w:rsid w:val="001C4908"/>
    <w:rsid w:val="001C58CC"/>
    <w:rsid w:val="001C5A55"/>
    <w:rsid w:val="001C7C70"/>
    <w:rsid w:val="001D177D"/>
    <w:rsid w:val="001D6126"/>
    <w:rsid w:val="001E2565"/>
    <w:rsid w:val="001E2A04"/>
    <w:rsid w:val="001E4340"/>
    <w:rsid w:val="001E6EE1"/>
    <w:rsid w:val="001E6F40"/>
    <w:rsid w:val="001E7236"/>
    <w:rsid w:val="001E7423"/>
    <w:rsid w:val="001E78DA"/>
    <w:rsid w:val="001E78F2"/>
    <w:rsid w:val="001F1CF6"/>
    <w:rsid w:val="001F4F17"/>
    <w:rsid w:val="001F54CB"/>
    <w:rsid w:val="001F65A7"/>
    <w:rsid w:val="00200A85"/>
    <w:rsid w:val="002012DF"/>
    <w:rsid w:val="0020345C"/>
    <w:rsid w:val="002042C2"/>
    <w:rsid w:val="0020628F"/>
    <w:rsid w:val="00207A80"/>
    <w:rsid w:val="00207F1C"/>
    <w:rsid w:val="00210F14"/>
    <w:rsid w:val="002113EF"/>
    <w:rsid w:val="0021289D"/>
    <w:rsid w:val="00212920"/>
    <w:rsid w:val="00212FA3"/>
    <w:rsid w:val="00213FA2"/>
    <w:rsid w:val="00215FF7"/>
    <w:rsid w:val="002173E1"/>
    <w:rsid w:val="002206A7"/>
    <w:rsid w:val="00220B72"/>
    <w:rsid w:val="002223BA"/>
    <w:rsid w:val="002247F2"/>
    <w:rsid w:val="00224843"/>
    <w:rsid w:val="00225877"/>
    <w:rsid w:val="002327CA"/>
    <w:rsid w:val="0023313F"/>
    <w:rsid w:val="002354CA"/>
    <w:rsid w:val="00235B26"/>
    <w:rsid w:val="002419D1"/>
    <w:rsid w:val="00241E7C"/>
    <w:rsid w:val="00243CFF"/>
    <w:rsid w:val="002452E5"/>
    <w:rsid w:val="0024563A"/>
    <w:rsid w:val="002458B2"/>
    <w:rsid w:val="0024711B"/>
    <w:rsid w:val="00250278"/>
    <w:rsid w:val="00252539"/>
    <w:rsid w:val="0025297E"/>
    <w:rsid w:val="00253533"/>
    <w:rsid w:val="00254807"/>
    <w:rsid w:val="00255D63"/>
    <w:rsid w:val="00261AAC"/>
    <w:rsid w:val="00261AAD"/>
    <w:rsid w:val="0026373D"/>
    <w:rsid w:val="00264489"/>
    <w:rsid w:val="00264F3B"/>
    <w:rsid w:val="0026578C"/>
    <w:rsid w:val="00266844"/>
    <w:rsid w:val="0026711E"/>
    <w:rsid w:val="00267C6D"/>
    <w:rsid w:val="00271E14"/>
    <w:rsid w:val="0027238A"/>
    <w:rsid w:val="002756E1"/>
    <w:rsid w:val="002842C8"/>
    <w:rsid w:val="00284FBA"/>
    <w:rsid w:val="002857BA"/>
    <w:rsid w:val="00286582"/>
    <w:rsid w:val="00286B4D"/>
    <w:rsid w:val="002902DF"/>
    <w:rsid w:val="0029036B"/>
    <w:rsid w:val="00290947"/>
    <w:rsid w:val="002928B4"/>
    <w:rsid w:val="00293D51"/>
    <w:rsid w:val="00294E6D"/>
    <w:rsid w:val="00296549"/>
    <w:rsid w:val="002A1C73"/>
    <w:rsid w:val="002A26E3"/>
    <w:rsid w:val="002A4153"/>
    <w:rsid w:val="002A6AED"/>
    <w:rsid w:val="002A7E16"/>
    <w:rsid w:val="002B1D53"/>
    <w:rsid w:val="002B20C6"/>
    <w:rsid w:val="002B26E8"/>
    <w:rsid w:val="002B3C1A"/>
    <w:rsid w:val="002B5382"/>
    <w:rsid w:val="002B6377"/>
    <w:rsid w:val="002B681A"/>
    <w:rsid w:val="002B7EF6"/>
    <w:rsid w:val="002C0F5F"/>
    <w:rsid w:val="002C141D"/>
    <w:rsid w:val="002C1A0C"/>
    <w:rsid w:val="002C215A"/>
    <w:rsid w:val="002C2160"/>
    <w:rsid w:val="002C27F8"/>
    <w:rsid w:val="002C29E2"/>
    <w:rsid w:val="002C2B00"/>
    <w:rsid w:val="002D0D16"/>
    <w:rsid w:val="002D1185"/>
    <w:rsid w:val="002D1217"/>
    <w:rsid w:val="002D390D"/>
    <w:rsid w:val="002D3FF9"/>
    <w:rsid w:val="002D61A4"/>
    <w:rsid w:val="002D7180"/>
    <w:rsid w:val="002D7E45"/>
    <w:rsid w:val="002E0005"/>
    <w:rsid w:val="002E0282"/>
    <w:rsid w:val="002E06AB"/>
    <w:rsid w:val="002E284F"/>
    <w:rsid w:val="002E34BB"/>
    <w:rsid w:val="002E5427"/>
    <w:rsid w:val="002E640A"/>
    <w:rsid w:val="002E6D98"/>
    <w:rsid w:val="002E7D9F"/>
    <w:rsid w:val="002F03CB"/>
    <w:rsid w:val="002F1A0F"/>
    <w:rsid w:val="002F3CA8"/>
    <w:rsid w:val="002F4110"/>
    <w:rsid w:val="002F5666"/>
    <w:rsid w:val="002F7AFE"/>
    <w:rsid w:val="00300A86"/>
    <w:rsid w:val="00301FC8"/>
    <w:rsid w:val="003023C1"/>
    <w:rsid w:val="003036BB"/>
    <w:rsid w:val="0030408A"/>
    <w:rsid w:val="00304224"/>
    <w:rsid w:val="00304476"/>
    <w:rsid w:val="00306025"/>
    <w:rsid w:val="0030610B"/>
    <w:rsid w:val="00313C48"/>
    <w:rsid w:val="00314D5A"/>
    <w:rsid w:val="003209A3"/>
    <w:rsid w:val="00324945"/>
    <w:rsid w:val="00327B43"/>
    <w:rsid w:val="0033085D"/>
    <w:rsid w:val="00331B57"/>
    <w:rsid w:val="00337138"/>
    <w:rsid w:val="00337241"/>
    <w:rsid w:val="0033752D"/>
    <w:rsid w:val="00340BB6"/>
    <w:rsid w:val="00343693"/>
    <w:rsid w:val="00344D44"/>
    <w:rsid w:val="00346F56"/>
    <w:rsid w:val="003477F7"/>
    <w:rsid w:val="00350079"/>
    <w:rsid w:val="00350390"/>
    <w:rsid w:val="003522FC"/>
    <w:rsid w:val="00352931"/>
    <w:rsid w:val="00352BE7"/>
    <w:rsid w:val="00356296"/>
    <w:rsid w:val="0036084B"/>
    <w:rsid w:val="00361ED0"/>
    <w:rsid w:val="00361F66"/>
    <w:rsid w:val="00363822"/>
    <w:rsid w:val="0036538D"/>
    <w:rsid w:val="00366AEA"/>
    <w:rsid w:val="00366E80"/>
    <w:rsid w:val="00367D9B"/>
    <w:rsid w:val="00371D5A"/>
    <w:rsid w:val="0038021B"/>
    <w:rsid w:val="00381216"/>
    <w:rsid w:val="00381A67"/>
    <w:rsid w:val="00384333"/>
    <w:rsid w:val="00384D99"/>
    <w:rsid w:val="00385411"/>
    <w:rsid w:val="003858FF"/>
    <w:rsid w:val="00385910"/>
    <w:rsid w:val="003866D0"/>
    <w:rsid w:val="00390C1A"/>
    <w:rsid w:val="00390EB3"/>
    <w:rsid w:val="00394D21"/>
    <w:rsid w:val="0039628E"/>
    <w:rsid w:val="00396472"/>
    <w:rsid w:val="0039668E"/>
    <w:rsid w:val="003A2C4B"/>
    <w:rsid w:val="003A2D34"/>
    <w:rsid w:val="003A3707"/>
    <w:rsid w:val="003A54A2"/>
    <w:rsid w:val="003B4E8A"/>
    <w:rsid w:val="003B5C14"/>
    <w:rsid w:val="003C0300"/>
    <w:rsid w:val="003C234E"/>
    <w:rsid w:val="003C4AD5"/>
    <w:rsid w:val="003C4CE6"/>
    <w:rsid w:val="003C6ABC"/>
    <w:rsid w:val="003C7062"/>
    <w:rsid w:val="003C734C"/>
    <w:rsid w:val="003C769D"/>
    <w:rsid w:val="003D0B56"/>
    <w:rsid w:val="003D0F4F"/>
    <w:rsid w:val="003D21C7"/>
    <w:rsid w:val="003D3379"/>
    <w:rsid w:val="003D3470"/>
    <w:rsid w:val="003D3ED9"/>
    <w:rsid w:val="003D452F"/>
    <w:rsid w:val="003D71EF"/>
    <w:rsid w:val="003E1608"/>
    <w:rsid w:val="003E2FD3"/>
    <w:rsid w:val="003E41C5"/>
    <w:rsid w:val="003E6808"/>
    <w:rsid w:val="003E7868"/>
    <w:rsid w:val="003E7C44"/>
    <w:rsid w:val="003E7E48"/>
    <w:rsid w:val="003E7F47"/>
    <w:rsid w:val="003F553B"/>
    <w:rsid w:val="003F5C47"/>
    <w:rsid w:val="003F5D54"/>
    <w:rsid w:val="0040425E"/>
    <w:rsid w:val="004047BB"/>
    <w:rsid w:val="004060DC"/>
    <w:rsid w:val="004176AA"/>
    <w:rsid w:val="004224BF"/>
    <w:rsid w:val="00423BDC"/>
    <w:rsid w:val="00423EFC"/>
    <w:rsid w:val="00423FF7"/>
    <w:rsid w:val="00425C1D"/>
    <w:rsid w:val="00426998"/>
    <w:rsid w:val="00426C5E"/>
    <w:rsid w:val="00431538"/>
    <w:rsid w:val="00431DC2"/>
    <w:rsid w:val="00433079"/>
    <w:rsid w:val="00433102"/>
    <w:rsid w:val="00434E2A"/>
    <w:rsid w:val="004359BB"/>
    <w:rsid w:val="0043606A"/>
    <w:rsid w:val="00440E97"/>
    <w:rsid w:val="00441BE7"/>
    <w:rsid w:val="00441F88"/>
    <w:rsid w:val="00442E40"/>
    <w:rsid w:val="0044353F"/>
    <w:rsid w:val="004449EA"/>
    <w:rsid w:val="0044604C"/>
    <w:rsid w:val="004460F4"/>
    <w:rsid w:val="004503F0"/>
    <w:rsid w:val="00450C94"/>
    <w:rsid w:val="0045247B"/>
    <w:rsid w:val="00452CFA"/>
    <w:rsid w:val="00452D3A"/>
    <w:rsid w:val="004532BC"/>
    <w:rsid w:val="00453345"/>
    <w:rsid w:val="0045377D"/>
    <w:rsid w:val="00453EEA"/>
    <w:rsid w:val="00455EDD"/>
    <w:rsid w:val="00456B8E"/>
    <w:rsid w:val="00457888"/>
    <w:rsid w:val="00461FFF"/>
    <w:rsid w:val="0046283E"/>
    <w:rsid w:val="0046409F"/>
    <w:rsid w:val="00464D9B"/>
    <w:rsid w:val="00466288"/>
    <w:rsid w:val="00466847"/>
    <w:rsid w:val="00467AD9"/>
    <w:rsid w:val="004706F6"/>
    <w:rsid w:val="00472FDC"/>
    <w:rsid w:val="00473043"/>
    <w:rsid w:val="00473FB1"/>
    <w:rsid w:val="00474D53"/>
    <w:rsid w:val="00476D0E"/>
    <w:rsid w:val="0048113A"/>
    <w:rsid w:val="00481CC7"/>
    <w:rsid w:val="00486233"/>
    <w:rsid w:val="00486EE2"/>
    <w:rsid w:val="00487CCB"/>
    <w:rsid w:val="00491A3B"/>
    <w:rsid w:val="00491AAC"/>
    <w:rsid w:val="00491C1A"/>
    <w:rsid w:val="00492BD4"/>
    <w:rsid w:val="00493780"/>
    <w:rsid w:val="00493B8F"/>
    <w:rsid w:val="00493D80"/>
    <w:rsid w:val="00493E2C"/>
    <w:rsid w:val="00495F79"/>
    <w:rsid w:val="004A1E4F"/>
    <w:rsid w:val="004A1FBC"/>
    <w:rsid w:val="004A33D7"/>
    <w:rsid w:val="004A510C"/>
    <w:rsid w:val="004A55EF"/>
    <w:rsid w:val="004A56CA"/>
    <w:rsid w:val="004A5A2C"/>
    <w:rsid w:val="004B2DC0"/>
    <w:rsid w:val="004B332B"/>
    <w:rsid w:val="004B3AA4"/>
    <w:rsid w:val="004B4146"/>
    <w:rsid w:val="004B4AEE"/>
    <w:rsid w:val="004B4D31"/>
    <w:rsid w:val="004B6FDE"/>
    <w:rsid w:val="004B7667"/>
    <w:rsid w:val="004B7BF1"/>
    <w:rsid w:val="004C0F31"/>
    <w:rsid w:val="004C2015"/>
    <w:rsid w:val="004C227C"/>
    <w:rsid w:val="004C53EA"/>
    <w:rsid w:val="004C6563"/>
    <w:rsid w:val="004C66FA"/>
    <w:rsid w:val="004C711F"/>
    <w:rsid w:val="004C7821"/>
    <w:rsid w:val="004D02A1"/>
    <w:rsid w:val="004D1FDB"/>
    <w:rsid w:val="004D3197"/>
    <w:rsid w:val="004D3F25"/>
    <w:rsid w:val="004D6A8B"/>
    <w:rsid w:val="004D6C2B"/>
    <w:rsid w:val="004E0CA2"/>
    <w:rsid w:val="004E28EB"/>
    <w:rsid w:val="004E2E21"/>
    <w:rsid w:val="004E3155"/>
    <w:rsid w:val="004E36A0"/>
    <w:rsid w:val="004E53D3"/>
    <w:rsid w:val="004E59FF"/>
    <w:rsid w:val="004E731F"/>
    <w:rsid w:val="004F0078"/>
    <w:rsid w:val="004F2CF7"/>
    <w:rsid w:val="004F398E"/>
    <w:rsid w:val="004F4EE5"/>
    <w:rsid w:val="004F5AD5"/>
    <w:rsid w:val="004F7B5B"/>
    <w:rsid w:val="00500665"/>
    <w:rsid w:val="00501851"/>
    <w:rsid w:val="00502EE6"/>
    <w:rsid w:val="00503081"/>
    <w:rsid w:val="00505452"/>
    <w:rsid w:val="00510E91"/>
    <w:rsid w:val="00511CB8"/>
    <w:rsid w:val="00513017"/>
    <w:rsid w:val="00513D9C"/>
    <w:rsid w:val="00517AA1"/>
    <w:rsid w:val="00521C3E"/>
    <w:rsid w:val="00521F1F"/>
    <w:rsid w:val="005262D7"/>
    <w:rsid w:val="00530893"/>
    <w:rsid w:val="00531912"/>
    <w:rsid w:val="0053194C"/>
    <w:rsid w:val="00532D63"/>
    <w:rsid w:val="005331B7"/>
    <w:rsid w:val="00533F79"/>
    <w:rsid w:val="00534CB0"/>
    <w:rsid w:val="005356C0"/>
    <w:rsid w:val="00536DB7"/>
    <w:rsid w:val="005376DB"/>
    <w:rsid w:val="00537821"/>
    <w:rsid w:val="00540557"/>
    <w:rsid w:val="0054123D"/>
    <w:rsid w:val="00541BA0"/>
    <w:rsid w:val="00544B5F"/>
    <w:rsid w:val="00547017"/>
    <w:rsid w:val="00547741"/>
    <w:rsid w:val="00547A74"/>
    <w:rsid w:val="00550286"/>
    <w:rsid w:val="005524E0"/>
    <w:rsid w:val="0055423E"/>
    <w:rsid w:val="005564F3"/>
    <w:rsid w:val="0055664D"/>
    <w:rsid w:val="00556AEB"/>
    <w:rsid w:val="00556D70"/>
    <w:rsid w:val="005601B9"/>
    <w:rsid w:val="00560BD3"/>
    <w:rsid w:val="00561B08"/>
    <w:rsid w:val="00564662"/>
    <w:rsid w:val="00566380"/>
    <w:rsid w:val="00566E97"/>
    <w:rsid w:val="00567D6F"/>
    <w:rsid w:val="00570775"/>
    <w:rsid w:val="00570971"/>
    <w:rsid w:val="005717A3"/>
    <w:rsid w:val="00571BE4"/>
    <w:rsid w:val="00572DB6"/>
    <w:rsid w:val="00573904"/>
    <w:rsid w:val="00573A25"/>
    <w:rsid w:val="0057407E"/>
    <w:rsid w:val="00576947"/>
    <w:rsid w:val="0057752A"/>
    <w:rsid w:val="00577C87"/>
    <w:rsid w:val="005819E6"/>
    <w:rsid w:val="00583955"/>
    <w:rsid w:val="00583ACF"/>
    <w:rsid w:val="005850D3"/>
    <w:rsid w:val="00585B63"/>
    <w:rsid w:val="00590238"/>
    <w:rsid w:val="00590D47"/>
    <w:rsid w:val="0059277A"/>
    <w:rsid w:val="00592D62"/>
    <w:rsid w:val="00595965"/>
    <w:rsid w:val="00596520"/>
    <w:rsid w:val="00596A95"/>
    <w:rsid w:val="005973B3"/>
    <w:rsid w:val="005A1B87"/>
    <w:rsid w:val="005A3D5B"/>
    <w:rsid w:val="005A5A63"/>
    <w:rsid w:val="005A714A"/>
    <w:rsid w:val="005B0D4C"/>
    <w:rsid w:val="005B0FB2"/>
    <w:rsid w:val="005B5D86"/>
    <w:rsid w:val="005B5EF6"/>
    <w:rsid w:val="005B6477"/>
    <w:rsid w:val="005B7F1A"/>
    <w:rsid w:val="005C0C69"/>
    <w:rsid w:val="005C17CB"/>
    <w:rsid w:val="005C2564"/>
    <w:rsid w:val="005C277D"/>
    <w:rsid w:val="005C2A48"/>
    <w:rsid w:val="005C435F"/>
    <w:rsid w:val="005C43BF"/>
    <w:rsid w:val="005C459E"/>
    <w:rsid w:val="005C5784"/>
    <w:rsid w:val="005C5A3E"/>
    <w:rsid w:val="005C601A"/>
    <w:rsid w:val="005C60C3"/>
    <w:rsid w:val="005C6398"/>
    <w:rsid w:val="005C6449"/>
    <w:rsid w:val="005C7222"/>
    <w:rsid w:val="005C7C68"/>
    <w:rsid w:val="005D2C74"/>
    <w:rsid w:val="005D3754"/>
    <w:rsid w:val="005D3884"/>
    <w:rsid w:val="005D38D2"/>
    <w:rsid w:val="005D3C75"/>
    <w:rsid w:val="005D57A0"/>
    <w:rsid w:val="005D5DFF"/>
    <w:rsid w:val="005D6C91"/>
    <w:rsid w:val="005D6D4C"/>
    <w:rsid w:val="005D6E67"/>
    <w:rsid w:val="005D7DCA"/>
    <w:rsid w:val="005E007A"/>
    <w:rsid w:val="005E3BCF"/>
    <w:rsid w:val="005E4A3C"/>
    <w:rsid w:val="005F0BC8"/>
    <w:rsid w:val="005F16C4"/>
    <w:rsid w:val="005F2121"/>
    <w:rsid w:val="005F2171"/>
    <w:rsid w:val="005F37D5"/>
    <w:rsid w:val="005F4C0D"/>
    <w:rsid w:val="005F5710"/>
    <w:rsid w:val="005F6861"/>
    <w:rsid w:val="00600961"/>
    <w:rsid w:val="00601618"/>
    <w:rsid w:val="006036F0"/>
    <w:rsid w:val="00605864"/>
    <w:rsid w:val="00605923"/>
    <w:rsid w:val="006065F7"/>
    <w:rsid w:val="006066D8"/>
    <w:rsid w:val="00607342"/>
    <w:rsid w:val="00607948"/>
    <w:rsid w:val="00610D8A"/>
    <w:rsid w:val="006119A3"/>
    <w:rsid w:val="00612E98"/>
    <w:rsid w:val="0061306A"/>
    <w:rsid w:val="0061325B"/>
    <w:rsid w:val="0061343B"/>
    <w:rsid w:val="00614097"/>
    <w:rsid w:val="006146B4"/>
    <w:rsid w:val="00616631"/>
    <w:rsid w:val="00616C67"/>
    <w:rsid w:val="00620B93"/>
    <w:rsid w:val="00620E87"/>
    <w:rsid w:val="006214B1"/>
    <w:rsid w:val="00622A71"/>
    <w:rsid w:val="00623570"/>
    <w:rsid w:val="00624039"/>
    <w:rsid w:val="006247FF"/>
    <w:rsid w:val="00624C4F"/>
    <w:rsid w:val="006261F2"/>
    <w:rsid w:val="00626E3C"/>
    <w:rsid w:val="00627B82"/>
    <w:rsid w:val="00630297"/>
    <w:rsid w:val="0063221C"/>
    <w:rsid w:val="0063311E"/>
    <w:rsid w:val="00634E91"/>
    <w:rsid w:val="0063565F"/>
    <w:rsid w:val="00635E49"/>
    <w:rsid w:val="00635FF4"/>
    <w:rsid w:val="006367D1"/>
    <w:rsid w:val="00642FE0"/>
    <w:rsid w:val="00643C5B"/>
    <w:rsid w:val="00644696"/>
    <w:rsid w:val="00644DEA"/>
    <w:rsid w:val="0064513D"/>
    <w:rsid w:val="006452F5"/>
    <w:rsid w:val="00645F9C"/>
    <w:rsid w:val="00646B83"/>
    <w:rsid w:val="00646FC9"/>
    <w:rsid w:val="00647C77"/>
    <w:rsid w:val="00653841"/>
    <w:rsid w:val="00654160"/>
    <w:rsid w:val="00655BA9"/>
    <w:rsid w:val="00660724"/>
    <w:rsid w:val="0066208F"/>
    <w:rsid w:val="00662F76"/>
    <w:rsid w:val="0066322F"/>
    <w:rsid w:val="006639A6"/>
    <w:rsid w:val="00663C91"/>
    <w:rsid w:val="00664803"/>
    <w:rsid w:val="00667A26"/>
    <w:rsid w:val="006702AF"/>
    <w:rsid w:val="00675682"/>
    <w:rsid w:val="006769B9"/>
    <w:rsid w:val="00676EC7"/>
    <w:rsid w:val="00677F6C"/>
    <w:rsid w:val="00681E04"/>
    <w:rsid w:val="00683EF1"/>
    <w:rsid w:val="00684CAC"/>
    <w:rsid w:val="006856A3"/>
    <w:rsid w:val="00685BD5"/>
    <w:rsid w:val="00687E28"/>
    <w:rsid w:val="0069040E"/>
    <w:rsid w:val="006911E1"/>
    <w:rsid w:val="00692783"/>
    <w:rsid w:val="006929DB"/>
    <w:rsid w:val="00695ECE"/>
    <w:rsid w:val="00697B32"/>
    <w:rsid w:val="006A20C8"/>
    <w:rsid w:val="006A2275"/>
    <w:rsid w:val="006A2337"/>
    <w:rsid w:val="006A328E"/>
    <w:rsid w:val="006A7045"/>
    <w:rsid w:val="006B143B"/>
    <w:rsid w:val="006B27FB"/>
    <w:rsid w:val="006B46BA"/>
    <w:rsid w:val="006B59E4"/>
    <w:rsid w:val="006B5CAB"/>
    <w:rsid w:val="006B79F4"/>
    <w:rsid w:val="006B7AE4"/>
    <w:rsid w:val="006C169A"/>
    <w:rsid w:val="006C2750"/>
    <w:rsid w:val="006C29B0"/>
    <w:rsid w:val="006C2AA0"/>
    <w:rsid w:val="006C3501"/>
    <w:rsid w:val="006C52C8"/>
    <w:rsid w:val="006C60D7"/>
    <w:rsid w:val="006C6468"/>
    <w:rsid w:val="006C7142"/>
    <w:rsid w:val="006D0598"/>
    <w:rsid w:val="006D09B6"/>
    <w:rsid w:val="006D2A99"/>
    <w:rsid w:val="006D3745"/>
    <w:rsid w:val="006D5E19"/>
    <w:rsid w:val="006D60CB"/>
    <w:rsid w:val="006D6D79"/>
    <w:rsid w:val="006D71A7"/>
    <w:rsid w:val="006E092B"/>
    <w:rsid w:val="006E198B"/>
    <w:rsid w:val="006E272C"/>
    <w:rsid w:val="006E2B97"/>
    <w:rsid w:val="006E3693"/>
    <w:rsid w:val="006E43EA"/>
    <w:rsid w:val="006E4DA0"/>
    <w:rsid w:val="006E5DE2"/>
    <w:rsid w:val="006F0BF2"/>
    <w:rsid w:val="006F2E7D"/>
    <w:rsid w:val="006F3605"/>
    <w:rsid w:val="006F4601"/>
    <w:rsid w:val="006F5EB9"/>
    <w:rsid w:val="006F5FB9"/>
    <w:rsid w:val="006F6F96"/>
    <w:rsid w:val="006F70E5"/>
    <w:rsid w:val="006F7119"/>
    <w:rsid w:val="006F7ADC"/>
    <w:rsid w:val="006F7EBD"/>
    <w:rsid w:val="007007E5"/>
    <w:rsid w:val="00701115"/>
    <w:rsid w:val="007047E7"/>
    <w:rsid w:val="00704FA4"/>
    <w:rsid w:val="00706085"/>
    <w:rsid w:val="0070674B"/>
    <w:rsid w:val="00710712"/>
    <w:rsid w:val="00714DC7"/>
    <w:rsid w:val="007152D0"/>
    <w:rsid w:val="007161C3"/>
    <w:rsid w:val="007169EF"/>
    <w:rsid w:val="007205C3"/>
    <w:rsid w:val="00720652"/>
    <w:rsid w:val="0072185B"/>
    <w:rsid w:val="00721D31"/>
    <w:rsid w:val="00722A0C"/>
    <w:rsid w:val="007245EE"/>
    <w:rsid w:val="007249EC"/>
    <w:rsid w:val="00724E00"/>
    <w:rsid w:val="00724FD1"/>
    <w:rsid w:val="00725DB0"/>
    <w:rsid w:val="0072650B"/>
    <w:rsid w:val="00726DEC"/>
    <w:rsid w:val="00730D42"/>
    <w:rsid w:val="00731047"/>
    <w:rsid w:val="00732F74"/>
    <w:rsid w:val="00733F11"/>
    <w:rsid w:val="0073480F"/>
    <w:rsid w:val="007348EF"/>
    <w:rsid w:val="007354AB"/>
    <w:rsid w:val="00735836"/>
    <w:rsid w:val="007361B3"/>
    <w:rsid w:val="00737872"/>
    <w:rsid w:val="00741497"/>
    <w:rsid w:val="00743A56"/>
    <w:rsid w:val="007440F8"/>
    <w:rsid w:val="00745378"/>
    <w:rsid w:val="0074560A"/>
    <w:rsid w:val="00746048"/>
    <w:rsid w:val="007469EE"/>
    <w:rsid w:val="00747E16"/>
    <w:rsid w:val="007504F3"/>
    <w:rsid w:val="00751659"/>
    <w:rsid w:val="0075171E"/>
    <w:rsid w:val="00752BF1"/>
    <w:rsid w:val="00753532"/>
    <w:rsid w:val="00753552"/>
    <w:rsid w:val="00753D8D"/>
    <w:rsid w:val="00755248"/>
    <w:rsid w:val="00762520"/>
    <w:rsid w:val="00762878"/>
    <w:rsid w:val="00765C32"/>
    <w:rsid w:val="0077055F"/>
    <w:rsid w:val="007705E6"/>
    <w:rsid w:val="00772865"/>
    <w:rsid w:val="00773377"/>
    <w:rsid w:val="00777107"/>
    <w:rsid w:val="00777197"/>
    <w:rsid w:val="00785649"/>
    <w:rsid w:val="007862CB"/>
    <w:rsid w:val="007876CF"/>
    <w:rsid w:val="00787BED"/>
    <w:rsid w:val="00791995"/>
    <w:rsid w:val="00792457"/>
    <w:rsid w:val="00793D5C"/>
    <w:rsid w:val="00795B16"/>
    <w:rsid w:val="00795DEB"/>
    <w:rsid w:val="007A1CA1"/>
    <w:rsid w:val="007A4F01"/>
    <w:rsid w:val="007A61D0"/>
    <w:rsid w:val="007B4211"/>
    <w:rsid w:val="007B58ED"/>
    <w:rsid w:val="007B6C3A"/>
    <w:rsid w:val="007B75A5"/>
    <w:rsid w:val="007C036D"/>
    <w:rsid w:val="007C0D76"/>
    <w:rsid w:val="007C3D9B"/>
    <w:rsid w:val="007C4551"/>
    <w:rsid w:val="007C57DD"/>
    <w:rsid w:val="007D33BA"/>
    <w:rsid w:val="007D4E27"/>
    <w:rsid w:val="007D5AEF"/>
    <w:rsid w:val="007D6EB7"/>
    <w:rsid w:val="007D77B0"/>
    <w:rsid w:val="007E08D9"/>
    <w:rsid w:val="007E243D"/>
    <w:rsid w:val="007E4E80"/>
    <w:rsid w:val="007E5D7E"/>
    <w:rsid w:val="007E7F09"/>
    <w:rsid w:val="007F10F8"/>
    <w:rsid w:val="007F214D"/>
    <w:rsid w:val="007F2B23"/>
    <w:rsid w:val="007F3E2E"/>
    <w:rsid w:val="007F5960"/>
    <w:rsid w:val="007F76F9"/>
    <w:rsid w:val="007F7B4F"/>
    <w:rsid w:val="007F7DC0"/>
    <w:rsid w:val="008011B4"/>
    <w:rsid w:val="008029D5"/>
    <w:rsid w:val="00805CC6"/>
    <w:rsid w:val="0081006F"/>
    <w:rsid w:val="0081125F"/>
    <w:rsid w:val="0081180D"/>
    <w:rsid w:val="0081225C"/>
    <w:rsid w:val="00812549"/>
    <w:rsid w:val="00812C03"/>
    <w:rsid w:val="008201D5"/>
    <w:rsid w:val="008213AE"/>
    <w:rsid w:val="00821704"/>
    <w:rsid w:val="0082180D"/>
    <w:rsid w:val="008218E2"/>
    <w:rsid w:val="00821CF9"/>
    <w:rsid w:val="00822EBC"/>
    <w:rsid w:val="0082394E"/>
    <w:rsid w:val="00824651"/>
    <w:rsid w:val="00827625"/>
    <w:rsid w:val="00830A1D"/>
    <w:rsid w:val="008312B1"/>
    <w:rsid w:val="00833C57"/>
    <w:rsid w:val="008343CB"/>
    <w:rsid w:val="008344EE"/>
    <w:rsid w:val="0083481D"/>
    <w:rsid w:val="00835F2D"/>
    <w:rsid w:val="00837731"/>
    <w:rsid w:val="0084097D"/>
    <w:rsid w:val="008412DC"/>
    <w:rsid w:val="00841861"/>
    <w:rsid w:val="00842826"/>
    <w:rsid w:val="0084395E"/>
    <w:rsid w:val="00845DDF"/>
    <w:rsid w:val="008460B6"/>
    <w:rsid w:val="0084662F"/>
    <w:rsid w:val="008471D5"/>
    <w:rsid w:val="00847AF4"/>
    <w:rsid w:val="00851CBF"/>
    <w:rsid w:val="0085271D"/>
    <w:rsid w:val="00852EB9"/>
    <w:rsid w:val="00852FEC"/>
    <w:rsid w:val="00853465"/>
    <w:rsid w:val="0085418C"/>
    <w:rsid w:val="00854664"/>
    <w:rsid w:val="00856AC9"/>
    <w:rsid w:val="00860932"/>
    <w:rsid w:val="00862B3A"/>
    <w:rsid w:val="008631AC"/>
    <w:rsid w:val="00863AA8"/>
    <w:rsid w:val="00867324"/>
    <w:rsid w:val="0087232B"/>
    <w:rsid w:val="008742B0"/>
    <w:rsid w:val="008742BF"/>
    <w:rsid w:val="0087577F"/>
    <w:rsid w:val="00875A98"/>
    <w:rsid w:val="00875EA7"/>
    <w:rsid w:val="0087755D"/>
    <w:rsid w:val="00880D10"/>
    <w:rsid w:val="00883CAB"/>
    <w:rsid w:val="0088431C"/>
    <w:rsid w:val="0088526A"/>
    <w:rsid w:val="00885435"/>
    <w:rsid w:val="00886642"/>
    <w:rsid w:val="00886965"/>
    <w:rsid w:val="00887631"/>
    <w:rsid w:val="00890945"/>
    <w:rsid w:val="00897D2F"/>
    <w:rsid w:val="008A0288"/>
    <w:rsid w:val="008A095D"/>
    <w:rsid w:val="008A12D9"/>
    <w:rsid w:val="008A24BB"/>
    <w:rsid w:val="008A2C83"/>
    <w:rsid w:val="008A3760"/>
    <w:rsid w:val="008A39CF"/>
    <w:rsid w:val="008A74D3"/>
    <w:rsid w:val="008B0CC6"/>
    <w:rsid w:val="008B217B"/>
    <w:rsid w:val="008B21AB"/>
    <w:rsid w:val="008B2EDD"/>
    <w:rsid w:val="008B36FD"/>
    <w:rsid w:val="008B4863"/>
    <w:rsid w:val="008B4DA5"/>
    <w:rsid w:val="008B552C"/>
    <w:rsid w:val="008B5C89"/>
    <w:rsid w:val="008B74FE"/>
    <w:rsid w:val="008B75E6"/>
    <w:rsid w:val="008C22C9"/>
    <w:rsid w:val="008C2FF7"/>
    <w:rsid w:val="008C4639"/>
    <w:rsid w:val="008C52CF"/>
    <w:rsid w:val="008C6136"/>
    <w:rsid w:val="008C775E"/>
    <w:rsid w:val="008C7A68"/>
    <w:rsid w:val="008D05E3"/>
    <w:rsid w:val="008D0672"/>
    <w:rsid w:val="008D0796"/>
    <w:rsid w:val="008D093B"/>
    <w:rsid w:val="008D300E"/>
    <w:rsid w:val="008D35EA"/>
    <w:rsid w:val="008D6A43"/>
    <w:rsid w:val="008D79D0"/>
    <w:rsid w:val="008E110B"/>
    <w:rsid w:val="008E2CC9"/>
    <w:rsid w:val="008E3BC2"/>
    <w:rsid w:val="008E3D64"/>
    <w:rsid w:val="008E5792"/>
    <w:rsid w:val="008E653E"/>
    <w:rsid w:val="008E6C4D"/>
    <w:rsid w:val="008E7D6B"/>
    <w:rsid w:val="008F27E2"/>
    <w:rsid w:val="008F29EB"/>
    <w:rsid w:val="008F4E77"/>
    <w:rsid w:val="008F6BE7"/>
    <w:rsid w:val="008F75AA"/>
    <w:rsid w:val="00901190"/>
    <w:rsid w:val="0090215C"/>
    <w:rsid w:val="00902986"/>
    <w:rsid w:val="00906C5E"/>
    <w:rsid w:val="00906F9B"/>
    <w:rsid w:val="009129DE"/>
    <w:rsid w:val="00913898"/>
    <w:rsid w:val="00915CAF"/>
    <w:rsid w:val="00915D1C"/>
    <w:rsid w:val="00916E78"/>
    <w:rsid w:val="00917426"/>
    <w:rsid w:val="009208A0"/>
    <w:rsid w:val="00921400"/>
    <w:rsid w:val="0092195B"/>
    <w:rsid w:val="0092268B"/>
    <w:rsid w:val="00926101"/>
    <w:rsid w:val="009265B7"/>
    <w:rsid w:val="0092779E"/>
    <w:rsid w:val="0092796D"/>
    <w:rsid w:val="0093087F"/>
    <w:rsid w:val="00930992"/>
    <w:rsid w:val="00930E16"/>
    <w:rsid w:val="009312E5"/>
    <w:rsid w:val="009325D8"/>
    <w:rsid w:val="00934CD0"/>
    <w:rsid w:val="00934F43"/>
    <w:rsid w:val="00935B29"/>
    <w:rsid w:val="00936286"/>
    <w:rsid w:val="0093722A"/>
    <w:rsid w:val="00940CC1"/>
    <w:rsid w:val="00940F6E"/>
    <w:rsid w:val="00944E76"/>
    <w:rsid w:val="00944FBA"/>
    <w:rsid w:val="00945E8D"/>
    <w:rsid w:val="009468E2"/>
    <w:rsid w:val="00947B14"/>
    <w:rsid w:val="00951067"/>
    <w:rsid w:val="00953236"/>
    <w:rsid w:val="00953A7B"/>
    <w:rsid w:val="009555B6"/>
    <w:rsid w:val="0095575C"/>
    <w:rsid w:val="00955CB1"/>
    <w:rsid w:val="009573C8"/>
    <w:rsid w:val="00961DB7"/>
    <w:rsid w:val="00961EFC"/>
    <w:rsid w:val="00962D1D"/>
    <w:rsid w:val="009647C7"/>
    <w:rsid w:val="009678C8"/>
    <w:rsid w:val="00970C34"/>
    <w:rsid w:val="00970D60"/>
    <w:rsid w:val="009714F0"/>
    <w:rsid w:val="00971C65"/>
    <w:rsid w:val="00971FFF"/>
    <w:rsid w:val="009728A9"/>
    <w:rsid w:val="0097320C"/>
    <w:rsid w:val="009738F0"/>
    <w:rsid w:val="009745EA"/>
    <w:rsid w:val="00976944"/>
    <w:rsid w:val="00976DE9"/>
    <w:rsid w:val="0097752E"/>
    <w:rsid w:val="00977917"/>
    <w:rsid w:val="00977989"/>
    <w:rsid w:val="00981254"/>
    <w:rsid w:val="009815EA"/>
    <w:rsid w:val="00981CFE"/>
    <w:rsid w:val="0098301D"/>
    <w:rsid w:val="00984001"/>
    <w:rsid w:val="009844C9"/>
    <w:rsid w:val="00984FE8"/>
    <w:rsid w:val="00985594"/>
    <w:rsid w:val="00985C24"/>
    <w:rsid w:val="0098648B"/>
    <w:rsid w:val="009864ED"/>
    <w:rsid w:val="00986E30"/>
    <w:rsid w:val="00990001"/>
    <w:rsid w:val="009917E8"/>
    <w:rsid w:val="00992128"/>
    <w:rsid w:val="00992D28"/>
    <w:rsid w:val="00993E82"/>
    <w:rsid w:val="00994D60"/>
    <w:rsid w:val="00995D76"/>
    <w:rsid w:val="00995F9B"/>
    <w:rsid w:val="0099756F"/>
    <w:rsid w:val="009A191D"/>
    <w:rsid w:val="009A20E1"/>
    <w:rsid w:val="009A4D6A"/>
    <w:rsid w:val="009A6072"/>
    <w:rsid w:val="009A679D"/>
    <w:rsid w:val="009A6FE0"/>
    <w:rsid w:val="009B0537"/>
    <w:rsid w:val="009B0907"/>
    <w:rsid w:val="009B0D57"/>
    <w:rsid w:val="009B1215"/>
    <w:rsid w:val="009B14C7"/>
    <w:rsid w:val="009B3001"/>
    <w:rsid w:val="009B3157"/>
    <w:rsid w:val="009B3827"/>
    <w:rsid w:val="009B4510"/>
    <w:rsid w:val="009B4535"/>
    <w:rsid w:val="009B59F7"/>
    <w:rsid w:val="009B5C92"/>
    <w:rsid w:val="009C0372"/>
    <w:rsid w:val="009C0C59"/>
    <w:rsid w:val="009C0CC5"/>
    <w:rsid w:val="009C29CC"/>
    <w:rsid w:val="009C3048"/>
    <w:rsid w:val="009C4F4E"/>
    <w:rsid w:val="009C752A"/>
    <w:rsid w:val="009C7C09"/>
    <w:rsid w:val="009D090C"/>
    <w:rsid w:val="009D0E82"/>
    <w:rsid w:val="009D219C"/>
    <w:rsid w:val="009D490D"/>
    <w:rsid w:val="009D491B"/>
    <w:rsid w:val="009D5372"/>
    <w:rsid w:val="009D77EF"/>
    <w:rsid w:val="009D7A6C"/>
    <w:rsid w:val="009D7F84"/>
    <w:rsid w:val="009E1177"/>
    <w:rsid w:val="009E1BB5"/>
    <w:rsid w:val="009F1FB5"/>
    <w:rsid w:val="009F20CB"/>
    <w:rsid w:val="009F2354"/>
    <w:rsid w:val="009F37D4"/>
    <w:rsid w:val="009F48BD"/>
    <w:rsid w:val="009F51F8"/>
    <w:rsid w:val="009F6F50"/>
    <w:rsid w:val="009F7846"/>
    <w:rsid w:val="009F7FD7"/>
    <w:rsid w:val="00A006AB"/>
    <w:rsid w:val="00A010A2"/>
    <w:rsid w:val="00A02DBB"/>
    <w:rsid w:val="00A02FD7"/>
    <w:rsid w:val="00A03114"/>
    <w:rsid w:val="00A03583"/>
    <w:rsid w:val="00A04250"/>
    <w:rsid w:val="00A0440F"/>
    <w:rsid w:val="00A04779"/>
    <w:rsid w:val="00A0506B"/>
    <w:rsid w:val="00A111AD"/>
    <w:rsid w:val="00A11E3D"/>
    <w:rsid w:val="00A1266C"/>
    <w:rsid w:val="00A14171"/>
    <w:rsid w:val="00A16EEE"/>
    <w:rsid w:val="00A17CD9"/>
    <w:rsid w:val="00A17FBF"/>
    <w:rsid w:val="00A21298"/>
    <w:rsid w:val="00A2264B"/>
    <w:rsid w:val="00A22756"/>
    <w:rsid w:val="00A23FEE"/>
    <w:rsid w:val="00A25324"/>
    <w:rsid w:val="00A2572D"/>
    <w:rsid w:val="00A26DE7"/>
    <w:rsid w:val="00A2745A"/>
    <w:rsid w:val="00A316C1"/>
    <w:rsid w:val="00A3176C"/>
    <w:rsid w:val="00A3262C"/>
    <w:rsid w:val="00A3266A"/>
    <w:rsid w:val="00A32776"/>
    <w:rsid w:val="00A36CB2"/>
    <w:rsid w:val="00A37540"/>
    <w:rsid w:val="00A376E6"/>
    <w:rsid w:val="00A404E1"/>
    <w:rsid w:val="00A4051B"/>
    <w:rsid w:val="00A40E66"/>
    <w:rsid w:val="00A4542F"/>
    <w:rsid w:val="00A45A4B"/>
    <w:rsid w:val="00A4688F"/>
    <w:rsid w:val="00A5023C"/>
    <w:rsid w:val="00A52BE1"/>
    <w:rsid w:val="00A55C4D"/>
    <w:rsid w:val="00A5658C"/>
    <w:rsid w:val="00A56B94"/>
    <w:rsid w:val="00A571D9"/>
    <w:rsid w:val="00A60CCE"/>
    <w:rsid w:val="00A61E3D"/>
    <w:rsid w:val="00A620ED"/>
    <w:rsid w:val="00A654B4"/>
    <w:rsid w:val="00A660F7"/>
    <w:rsid w:val="00A7094F"/>
    <w:rsid w:val="00A72E11"/>
    <w:rsid w:val="00A738FF"/>
    <w:rsid w:val="00A73901"/>
    <w:rsid w:val="00A748AF"/>
    <w:rsid w:val="00A74EE8"/>
    <w:rsid w:val="00A762B2"/>
    <w:rsid w:val="00A771D9"/>
    <w:rsid w:val="00A8149B"/>
    <w:rsid w:val="00A82309"/>
    <w:rsid w:val="00A82383"/>
    <w:rsid w:val="00A824B1"/>
    <w:rsid w:val="00A84913"/>
    <w:rsid w:val="00A86A32"/>
    <w:rsid w:val="00A92350"/>
    <w:rsid w:val="00A92929"/>
    <w:rsid w:val="00A93498"/>
    <w:rsid w:val="00A93ACD"/>
    <w:rsid w:val="00A95B9D"/>
    <w:rsid w:val="00A96DFA"/>
    <w:rsid w:val="00A97381"/>
    <w:rsid w:val="00AA1605"/>
    <w:rsid w:val="00AA58BB"/>
    <w:rsid w:val="00AA775E"/>
    <w:rsid w:val="00AA7859"/>
    <w:rsid w:val="00AB2919"/>
    <w:rsid w:val="00AB2D68"/>
    <w:rsid w:val="00AB2E5B"/>
    <w:rsid w:val="00AB6BEF"/>
    <w:rsid w:val="00AB7474"/>
    <w:rsid w:val="00AB7504"/>
    <w:rsid w:val="00AB7E7F"/>
    <w:rsid w:val="00AC0E07"/>
    <w:rsid w:val="00AC1FBD"/>
    <w:rsid w:val="00AC34C3"/>
    <w:rsid w:val="00AC3968"/>
    <w:rsid w:val="00AC5057"/>
    <w:rsid w:val="00AC556F"/>
    <w:rsid w:val="00AC7C51"/>
    <w:rsid w:val="00AD0DA3"/>
    <w:rsid w:val="00AD5054"/>
    <w:rsid w:val="00AE087F"/>
    <w:rsid w:val="00AE0D69"/>
    <w:rsid w:val="00AE1CDB"/>
    <w:rsid w:val="00AE2090"/>
    <w:rsid w:val="00AE21BC"/>
    <w:rsid w:val="00AE2FCF"/>
    <w:rsid w:val="00AE3D1B"/>
    <w:rsid w:val="00AE5A9D"/>
    <w:rsid w:val="00AE69DA"/>
    <w:rsid w:val="00AF020B"/>
    <w:rsid w:val="00AF2124"/>
    <w:rsid w:val="00AF3AB3"/>
    <w:rsid w:val="00AF5AA6"/>
    <w:rsid w:val="00AF7EC1"/>
    <w:rsid w:val="00B0020D"/>
    <w:rsid w:val="00B0309B"/>
    <w:rsid w:val="00B04795"/>
    <w:rsid w:val="00B06599"/>
    <w:rsid w:val="00B075FC"/>
    <w:rsid w:val="00B1000A"/>
    <w:rsid w:val="00B1078E"/>
    <w:rsid w:val="00B12C0A"/>
    <w:rsid w:val="00B13898"/>
    <w:rsid w:val="00B17620"/>
    <w:rsid w:val="00B2088C"/>
    <w:rsid w:val="00B2116C"/>
    <w:rsid w:val="00B218E9"/>
    <w:rsid w:val="00B22391"/>
    <w:rsid w:val="00B23EBD"/>
    <w:rsid w:val="00B25A96"/>
    <w:rsid w:val="00B26A18"/>
    <w:rsid w:val="00B27C5E"/>
    <w:rsid w:val="00B312C8"/>
    <w:rsid w:val="00B324D1"/>
    <w:rsid w:val="00B332F2"/>
    <w:rsid w:val="00B33B0F"/>
    <w:rsid w:val="00B33E9A"/>
    <w:rsid w:val="00B36815"/>
    <w:rsid w:val="00B41614"/>
    <w:rsid w:val="00B41AC7"/>
    <w:rsid w:val="00B41EB7"/>
    <w:rsid w:val="00B45A2F"/>
    <w:rsid w:val="00B45FDC"/>
    <w:rsid w:val="00B46286"/>
    <w:rsid w:val="00B50B88"/>
    <w:rsid w:val="00B51EC7"/>
    <w:rsid w:val="00B525CF"/>
    <w:rsid w:val="00B53093"/>
    <w:rsid w:val="00B53493"/>
    <w:rsid w:val="00B56140"/>
    <w:rsid w:val="00B561C1"/>
    <w:rsid w:val="00B574E8"/>
    <w:rsid w:val="00B577E8"/>
    <w:rsid w:val="00B5783D"/>
    <w:rsid w:val="00B60141"/>
    <w:rsid w:val="00B60625"/>
    <w:rsid w:val="00B637D1"/>
    <w:rsid w:val="00B637E6"/>
    <w:rsid w:val="00B63A6C"/>
    <w:rsid w:val="00B64ACB"/>
    <w:rsid w:val="00B65B93"/>
    <w:rsid w:val="00B664C9"/>
    <w:rsid w:val="00B673BC"/>
    <w:rsid w:val="00B675F8"/>
    <w:rsid w:val="00B70714"/>
    <w:rsid w:val="00B714DD"/>
    <w:rsid w:val="00B715F7"/>
    <w:rsid w:val="00B73F09"/>
    <w:rsid w:val="00B749E1"/>
    <w:rsid w:val="00B75C24"/>
    <w:rsid w:val="00B75D5D"/>
    <w:rsid w:val="00B75DCD"/>
    <w:rsid w:val="00B7688C"/>
    <w:rsid w:val="00B77205"/>
    <w:rsid w:val="00B80189"/>
    <w:rsid w:val="00B802AF"/>
    <w:rsid w:val="00B829F2"/>
    <w:rsid w:val="00B84983"/>
    <w:rsid w:val="00B84AB4"/>
    <w:rsid w:val="00B84F44"/>
    <w:rsid w:val="00B85C88"/>
    <w:rsid w:val="00B85E65"/>
    <w:rsid w:val="00B87F01"/>
    <w:rsid w:val="00B901F6"/>
    <w:rsid w:val="00B9085F"/>
    <w:rsid w:val="00B90D35"/>
    <w:rsid w:val="00B93795"/>
    <w:rsid w:val="00B9471C"/>
    <w:rsid w:val="00BA001F"/>
    <w:rsid w:val="00BA137F"/>
    <w:rsid w:val="00BA2ACC"/>
    <w:rsid w:val="00BA3D6B"/>
    <w:rsid w:val="00BA5689"/>
    <w:rsid w:val="00BA59F3"/>
    <w:rsid w:val="00BA6F44"/>
    <w:rsid w:val="00BA7198"/>
    <w:rsid w:val="00BB045C"/>
    <w:rsid w:val="00BB0878"/>
    <w:rsid w:val="00BB0FE2"/>
    <w:rsid w:val="00BB2424"/>
    <w:rsid w:val="00BB31F0"/>
    <w:rsid w:val="00BB400C"/>
    <w:rsid w:val="00BB7BCC"/>
    <w:rsid w:val="00BC17F0"/>
    <w:rsid w:val="00BC2756"/>
    <w:rsid w:val="00BC3FEC"/>
    <w:rsid w:val="00BC4131"/>
    <w:rsid w:val="00BC445D"/>
    <w:rsid w:val="00BD14C8"/>
    <w:rsid w:val="00BD32E9"/>
    <w:rsid w:val="00BD3AD0"/>
    <w:rsid w:val="00BD48C6"/>
    <w:rsid w:val="00BD4DB9"/>
    <w:rsid w:val="00BD6650"/>
    <w:rsid w:val="00BD7B04"/>
    <w:rsid w:val="00BD7D85"/>
    <w:rsid w:val="00BE08A2"/>
    <w:rsid w:val="00BE245C"/>
    <w:rsid w:val="00BE24B7"/>
    <w:rsid w:val="00BE4663"/>
    <w:rsid w:val="00BE4893"/>
    <w:rsid w:val="00BE5B67"/>
    <w:rsid w:val="00BE61FC"/>
    <w:rsid w:val="00BE7C16"/>
    <w:rsid w:val="00BF11A5"/>
    <w:rsid w:val="00BF33D7"/>
    <w:rsid w:val="00BF4E29"/>
    <w:rsid w:val="00BF61C1"/>
    <w:rsid w:val="00BF62EF"/>
    <w:rsid w:val="00BF6A81"/>
    <w:rsid w:val="00BF6F5F"/>
    <w:rsid w:val="00C002A7"/>
    <w:rsid w:val="00C013BC"/>
    <w:rsid w:val="00C050FD"/>
    <w:rsid w:val="00C05918"/>
    <w:rsid w:val="00C067D2"/>
    <w:rsid w:val="00C06C39"/>
    <w:rsid w:val="00C10C63"/>
    <w:rsid w:val="00C11B33"/>
    <w:rsid w:val="00C11B6C"/>
    <w:rsid w:val="00C126AE"/>
    <w:rsid w:val="00C127EF"/>
    <w:rsid w:val="00C136A0"/>
    <w:rsid w:val="00C13858"/>
    <w:rsid w:val="00C13FDF"/>
    <w:rsid w:val="00C1404B"/>
    <w:rsid w:val="00C160C6"/>
    <w:rsid w:val="00C177E3"/>
    <w:rsid w:val="00C20C9C"/>
    <w:rsid w:val="00C20F31"/>
    <w:rsid w:val="00C21A97"/>
    <w:rsid w:val="00C22204"/>
    <w:rsid w:val="00C2511A"/>
    <w:rsid w:val="00C25228"/>
    <w:rsid w:val="00C31BCA"/>
    <w:rsid w:val="00C31E3F"/>
    <w:rsid w:val="00C3377C"/>
    <w:rsid w:val="00C35F98"/>
    <w:rsid w:val="00C36924"/>
    <w:rsid w:val="00C37F3B"/>
    <w:rsid w:val="00C42BAC"/>
    <w:rsid w:val="00C42D69"/>
    <w:rsid w:val="00C454CA"/>
    <w:rsid w:val="00C45C34"/>
    <w:rsid w:val="00C460FC"/>
    <w:rsid w:val="00C47205"/>
    <w:rsid w:val="00C500DA"/>
    <w:rsid w:val="00C50EBD"/>
    <w:rsid w:val="00C5165A"/>
    <w:rsid w:val="00C52A14"/>
    <w:rsid w:val="00C53288"/>
    <w:rsid w:val="00C5358A"/>
    <w:rsid w:val="00C55D92"/>
    <w:rsid w:val="00C6283A"/>
    <w:rsid w:val="00C63247"/>
    <w:rsid w:val="00C636E6"/>
    <w:rsid w:val="00C6449C"/>
    <w:rsid w:val="00C65492"/>
    <w:rsid w:val="00C655BD"/>
    <w:rsid w:val="00C662B6"/>
    <w:rsid w:val="00C71C10"/>
    <w:rsid w:val="00C72892"/>
    <w:rsid w:val="00C73CB1"/>
    <w:rsid w:val="00C73CD9"/>
    <w:rsid w:val="00C73E7C"/>
    <w:rsid w:val="00C74976"/>
    <w:rsid w:val="00C74D7B"/>
    <w:rsid w:val="00C75BA2"/>
    <w:rsid w:val="00C76814"/>
    <w:rsid w:val="00C776EF"/>
    <w:rsid w:val="00C80357"/>
    <w:rsid w:val="00C8176B"/>
    <w:rsid w:val="00C81C3A"/>
    <w:rsid w:val="00C842F7"/>
    <w:rsid w:val="00C86581"/>
    <w:rsid w:val="00C865E1"/>
    <w:rsid w:val="00C87F02"/>
    <w:rsid w:val="00C900BB"/>
    <w:rsid w:val="00C93558"/>
    <w:rsid w:val="00C93646"/>
    <w:rsid w:val="00C94026"/>
    <w:rsid w:val="00CA5E2A"/>
    <w:rsid w:val="00CA769A"/>
    <w:rsid w:val="00CB1CD4"/>
    <w:rsid w:val="00CB3CB9"/>
    <w:rsid w:val="00CB3E66"/>
    <w:rsid w:val="00CB47BF"/>
    <w:rsid w:val="00CB484B"/>
    <w:rsid w:val="00CB4DBD"/>
    <w:rsid w:val="00CB5DCC"/>
    <w:rsid w:val="00CB7726"/>
    <w:rsid w:val="00CB7C02"/>
    <w:rsid w:val="00CC1388"/>
    <w:rsid w:val="00CC18B5"/>
    <w:rsid w:val="00CC33B0"/>
    <w:rsid w:val="00CC479F"/>
    <w:rsid w:val="00CC4B68"/>
    <w:rsid w:val="00CC4BE2"/>
    <w:rsid w:val="00CC512F"/>
    <w:rsid w:val="00CC672A"/>
    <w:rsid w:val="00CD013D"/>
    <w:rsid w:val="00CD068A"/>
    <w:rsid w:val="00CD19A0"/>
    <w:rsid w:val="00CD36C3"/>
    <w:rsid w:val="00CD494C"/>
    <w:rsid w:val="00CD6435"/>
    <w:rsid w:val="00CD6592"/>
    <w:rsid w:val="00CE282C"/>
    <w:rsid w:val="00CE2B5D"/>
    <w:rsid w:val="00CE2FCF"/>
    <w:rsid w:val="00CE4611"/>
    <w:rsid w:val="00CE6494"/>
    <w:rsid w:val="00CE760B"/>
    <w:rsid w:val="00CE763D"/>
    <w:rsid w:val="00CF0BA9"/>
    <w:rsid w:val="00CF0C7D"/>
    <w:rsid w:val="00CF1F28"/>
    <w:rsid w:val="00CF2316"/>
    <w:rsid w:val="00CF2B72"/>
    <w:rsid w:val="00CF3085"/>
    <w:rsid w:val="00CF3436"/>
    <w:rsid w:val="00CF3A0A"/>
    <w:rsid w:val="00CF49FA"/>
    <w:rsid w:val="00CF535B"/>
    <w:rsid w:val="00CF56C9"/>
    <w:rsid w:val="00CF6234"/>
    <w:rsid w:val="00CF7CA9"/>
    <w:rsid w:val="00D0110F"/>
    <w:rsid w:val="00D028E8"/>
    <w:rsid w:val="00D04C76"/>
    <w:rsid w:val="00D059BF"/>
    <w:rsid w:val="00D05C71"/>
    <w:rsid w:val="00D05CBC"/>
    <w:rsid w:val="00D05E36"/>
    <w:rsid w:val="00D0621B"/>
    <w:rsid w:val="00D069EE"/>
    <w:rsid w:val="00D06DE6"/>
    <w:rsid w:val="00D0740E"/>
    <w:rsid w:val="00D1078B"/>
    <w:rsid w:val="00D10C11"/>
    <w:rsid w:val="00D1121E"/>
    <w:rsid w:val="00D1396F"/>
    <w:rsid w:val="00D1468B"/>
    <w:rsid w:val="00D14DD1"/>
    <w:rsid w:val="00D1578E"/>
    <w:rsid w:val="00D15E9C"/>
    <w:rsid w:val="00D17A80"/>
    <w:rsid w:val="00D22F88"/>
    <w:rsid w:val="00D23764"/>
    <w:rsid w:val="00D245C1"/>
    <w:rsid w:val="00D25C00"/>
    <w:rsid w:val="00D30C65"/>
    <w:rsid w:val="00D3241A"/>
    <w:rsid w:val="00D33B72"/>
    <w:rsid w:val="00D376DD"/>
    <w:rsid w:val="00D379CB"/>
    <w:rsid w:val="00D37FCE"/>
    <w:rsid w:val="00D37FE2"/>
    <w:rsid w:val="00D41254"/>
    <w:rsid w:val="00D42861"/>
    <w:rsid w:val="00D43EAB"/>
    <w:rsid w:val="00D4564D"/>
    <w:rsid w:val="00D45A6F"/>
    <w:rsid w:val="00D4628B"/>
    <w:rsid w:val="00D479E6"/>
    <w:rsid w:val="00D47BC7"/>
    <w:rsid w:val="00D52FCD"/>
    <w:rsid w:val="00D53691"/>
    <w:rsid w:val="00D57100"/>
    <w:rsid w:val="00D613BA"/>
    <w:rsid w:val="00D6191F"/>
    <w:rsid w:val="00D61B7C"/>
    <w:rsid w:val="00D62305"/>
    <w:rsid w:val="00D62420"/>
    <w:rsid w:val="00D62B2B"/>
    <w:rsid w:val="00D64F15"/>
    <w:rsid w:val="00D660AA"/>
    <w:rsid w:val="00D66475"/>
    <w:rsid w:val="00D67408"/>
    <w:rsid w:val="00D716CA"/>
    <w:rsid w:val="00D7171C"/>
    <w:rsid w:val="00D732C5"/>
    <w:rsid w:val="00D7512F"/>
    <w:rsid w:val="00D75441"/>
    <w:rsid w:val="00D75C8F"/>
    <w:rsid w:val="00D7616A"/>
    <w:rsid w:val="00D7732D"/>
    <w:rsid w:val="00D77A9C"/>
    <w:rsid w:val="00D819BD"/>
    <w:rsid w:val="00D81F40"/>
    <w:rsid w:val="00D8371D"/>
    <w:rsid w:val="00D85E80"/>
    <w:rsid w:val="00D935BD"/>
    <w:rsid w:val="00D93EA5"/>
    <w:rsid w:val="00D96DE0"/>
    <w:rsid w:val="00D976F9"/>
    <w:rsid w:val="00D9776A"/>
    <w:rsid w:val="00D9795E"/>
    <w:rsid w:val="00DA248F"/>
    <w:rsid w:val="00DA36B8"/>
    <w:rsid w:val="00DA624D"/>
    <w:rsid w:val="00DA63EA"/>
    <w:rsid w:val="00DA657F"/>
    <w:rsid w:val="00DA6C5A"/>
    <w:rsid w:val="00DA7A92"/>
    <w:rsid w:val="00DB01DE"/>
    <w:rsid w:val="00DB1EC5"/>
    <w:rsid w:val="00DB27F3"/>
    <w:rsid w:val="00DB369F"/>
    <w:rsid w:val="00DB4506"/>
    <w:rsid w:val="00DB49BC"/>
    <w:rsid w:val="00DB5F39"/>
    <w:rsid w:val="00DB672D"/>
    <w:rsid w:val="00DB690B"/>
    <w:rsid w:val="00DB6932"/>
    <w:rsid w:val="00DB697F"/>
    <w:rsid w:val="00DC156C"/>
    <w:rsid w:val="00DC1FC0"/>
    <w:rsid w:val="00DC7BE9"/>
    <w:rsid w:val="00DD08B6"/>
    <w:rsid w:val="00DD3011"/>
    <w:rsid w:val="00DD364C"/>
    <w:rsid w:val="00DD59EA"/>
    <w:rsid w:val="00DE17ED"/>
    <w:rsid w:val="00DE23BC"/>
    <w:rsid w:val="00DE279C"/>
    <w:rsid w:val="00DE2877"/>
    <w:rsid w:val="00DE5C5C"/>
    <w:rsid w:val="00DE712F"/>
    <w:rsid w:val="00DF1195"/>
    <w:rsid w:val="00DF2CEC"/>
    <w:rsid w:val="00DF2D8F"/>
    <w:rsid w:val="00E003DA"/>
    <w:rsid w:val="00E02BF3"/>
    <w:rsid w:val="00E04490"/>
    <w:rsid w:val="00E048D9"/>
    <w:rsid w:val="00E04D95"/>
    <w:rsid w:val="00E05B70"/>
    <w:rsid w:val="00E05F68"/>
    <w:rsid w:val="00E0672F"/>
    <w:rsid w:val="00E070CC"/>
    <w:rsid w:val="00E0769E"/>
    <w:rsid w:val="00E07C8A"/>
    <w:rsid w:val="00E10823"/>
    <w:rsid w:val="00E114F9"/>
    <w:rsid w:val="00E11D58"/>
    <w:rsid w:val="00E14D0D"/>
    <w:rsid w:val="00E171E2"/>
    <w:rsid w:val="00E17BAB"/>
    <w:rsid w:val="00E202DE"/>
    <w:rsid w:val="00E20B13"/>
    <w:rsid w:val="00E213CE"/>
    <w:rsid w:val="00E22B12"/>
    <w:rsid w:val="00E2344F"/>
    <w:rsid w:val="00E24266"/>
    <w:rsid w:val="00E25B6A"/>
    <w:rsid w:val="00E265DA"/>
    <w:rsid w:val="00E276EE"/>
    <w:rsid w:val="00E31FB0"/>
    <w:rsid w:val="00E411EB"/>
    <w:rsid w:val="00E42ECD"/>
    <w:rsid w:val="00E4311C"/>
    <w:rsid w:val="00E431B1"/>
    <w:rsid w:val="00E43B8A"/>
    <w:rsid w:val="00E45325"/>
    <w:rsid w:val="00E45F09"/>
    <w:rsid w:val="00E466A3"/>
    <w:rsid w:val="00E46F6A"/>
    <w:rsid w:val="00E472BF"/>
    <w:rsid w:val="00E504AF"/>
    <w:rsid w:val="00E51F86"/>
    <w:rsid w:val="00E52E10"/>
    <w:rsid w:val="00E52F3E"/>
    <w:rsid w:val="00E53279"/>
    <w:rsid w:val="00E537FF"/>
    <w:rsid w:val="00E5503D"/>
    <w:rsid w:val="00E56AC4"/>
    <w:rsid w:val="00E614F0"/>
    <w:rsid w:val="00E617FC"/>
    <w:rsid w:val="00E674DE"/>
    <w:rsid w:val="00E6799F"/>
    <w:rsid w:val="00E67CBE"/>
    <w:rsid w:val="00E70B68"/>
    <w:rsid w:val="00E70C9F"/>
    <w:rsid w:val="00E7198A"/>
    <w:rsid w:val="00E71F51"/>
    <w:rsid w:val="00E7318F"/>
    <w:rsid w:val="00E73428"/>
    <w:rsid w:val="00E738AC"/>
    <w:rsid w:val="00E74A8A"/>
    <w:rsid w:val="00E76C0F"/>
    <w:rsid w:val="00E77CA3"/>
    <w:rsid w:val="00E8020E"/>
    <w:rsid w:val="00E80B4A"/>
    <w:rsid w:val="00E82896"/>
    <w:rsid w:val="00E845DA"/>
    <w:rsid w:val="00E84E77"/>
    <w:rsid w:val="00E85C44"/>
    <w:rsid w:val="00E878D9"/>
    <w:rsid w:val="00E87C1B"/>
    <w:rsid w:val="00E92833"/>
    <w:rsid w:val="00E93C88"/>
    <w:rsid w:val="00E970D3"/>
    <w:rsid w:val="00E9710C"/>
    <w:rsid w:val="00EA02BA"/>
    <w:rsid w:val="00EA06E2"/>
    <w:rsid w:val="00EA1629"/>
    <w:rsid w:val="00EA1CE2"/>
    <w:rsid w:val="00EA34F1"/>
    <w:rsid w:val="00EA7141"/>
    <w:rsid w:val="00EA7B8F"/>
    <w:rsid w:val="00EB0856"/>
    <w:rsid w:val="00EB10BA"/>
    <w:rsid w:val="00EB2209"/>
    <w:rsid w:val="00EB256A"/>
    <w:rsid w:val="00EB599A"/>
    <w:rsid w:val="00EB6BB5"/>
    <w:rsid w:val="00EB7CDD"/>
    <w:rsid w:val="00EC0B1E"/>
    <w:rsid w:val="00EC140D"/>
    <w:rsid w:val="00EC1628"/>
    <w:rsid w:val="00EC1B05"/>
    <w:rsid w:val="00EC1CD4"/>
    <w:rsid w:val="00EC26A5"/>
    <w:rsid w:val="00EC2C4C"/>
    <w:rsid w:val="00EC3053"/>
    <w:rsid w:val="00EC533B"/>
    <w:rsid w:val="00EC6A97"/>
    <w:rsid w:val="00EC7462"/>
    <w:rsid w:val="00EC7E79"/>
    <w:rsid w:val="00ED263B"/>
    <w:rsid w:val="00ED2B32"/>
    <w:rsid w:val="00ED2C25"/>
    <w:rsid w:val="00ED5B89"/>
    <w:rsid w:val="00ED7372"/>
    <w:rsid w:val="00ED7C50"/>
    <w:rsid w:val="00EE53FF"/>
    <w:rsid w:val="00EF06BE"/>
    <w:rsid w:val="00EF1E17"/>
    <w:rsid w:val="00EF41F6"/>
    <w:rsid w:val="00EF4454"/>
    <w:rsid w:val="00EF6190"/>
    <w:rsid w:val="00EF619F"/>
    <w:rsid w:val="00EF6BEB"/>
    <w:rsid w:val="00F04921"/>
    <w:rsid w:val="00F055BB"/>
    <w:rsid w:val="00F11162"/>
    <w:rsid w:val="00F11775"/>
    <w:rsid w:val="00F121BD"/>
    <w:rsid w:val="00F12D04"/>
    <w:rsid w:val="00F132C1"/>
    <w:rsid w:val="00F14718"/>
    <w:rsid w:val="00F15368"/>
    <w:rsid w:val="00F1608A"/>
    <w:rsid w:val="00F165C3"/>
    <w:rsid w:val="00F17745"/>
    <w:rsid w:val="00F17FC0"/>
    <w:rsid w:val="00F2238F"/>
    <w:rsid w:val="00F23649"/>
    <w:rsid w:val="00F2417E"/>
    <w:rsid w:val="00F244F2"/>
    <w:rsid w:val="00F245B6"/>
    <w:rsid w:val="00F246DD"/>
    <w:rsid w:val="00F258BE"/>
    <w:rsid w:val="00F2790B"/>
    <w:rsid w:val="00F27BBC"/>
    <w:rsid w:val="00F27D0A"/>
    <w:rsid w:val="00F305F0"/>
    <w:rsid w:val="00F347B5"/>
    <w:rsid w:val="00F36081"/>
    <w:rsid w:val="00F40340"/>
    <w:rsid w:val="00F408D1"/>
    <w:rsid w:val="00F458AF"/>
    <w:rsid w:val="00F45A5B"/>
    <w:rsid w:val="00F45D6C"/>
    <w:rsid w:val="00F50816"/>
    <w:rsid w:val="00F528F9"/>
    <w:rsid w:val="00F5422B"/>
    <w:rsid w:val="00F55ACC"/>
    <w:rsid w:val="00F5635A"/>
    <w:rsid w:val="00F6022D"/>
    <w:rsid w:val="00F619D0"/>
    <w:rsid w:val="00F64B5E"/>
    <w:rsid w:val="00F66CF9"/>
    <w:rsid w:val="00F67C75"/>
    <w:rsid w:val="00F7036F"/>
    <w:rsid w:val="00F71562"/>
    <w:rsid w:val="00F746CF"/>
    <w:rsid w:val="00F74834"/>
    <w:rsid w:val="00F80AFC"/>
    <w:rsid w:val="00F818D7"/>
    <w:rsid w:val="00F81B97"/>
    <w:rsid w:val="00F8285C"/>
    <w:rsid w:val="00F83C32"/>
    <w:rsid w:val="00F84230"/>
    <w:rsid w:val="00F84CF0"/>
    <w:rsid w:val="00F85F7F"/>
    <w:rsid w:val="00F8668C"/>
    <w:rsid w:val="00F87B07"/>
    <w:rsid w:val="00F90AD5"/>
    <w:rsid w:val="00F9417A"/>
    <w:rsid w:val="00F941DA"/>
    <w:rsid w:val="00F9555F"/>
    <w:rsid w:val="00F96277"/>
    <w:rsid w:val="00F9686D"/>
    <w:rsid w:val="00FA0020"/>
    <w:rsid w:val="00FA0915"/>
    <w:rsid w:val="00FA0B37"/>
    <w:rsid w:val="00FA1597"/>
    <w:rsid w:val="00FA50AD"/>
    <w:rsid w:val="00FA7AA0"/>
    <w:rsid w:val="00FA7E22"/>
    <w:rsid w:val="00FB227B"/>
    <w:rsid w:val="00FB23EB"/>
    <w:rsid w:val="00FB3DEB"/>
    <w:rsid w:val="00FB5070"/>
    <w:rsid w:val="00FB513F"/>
    <w:rsid w:val="00FB54B1"/>
    <w:rsid w:val="00FB656E"/>
    <w:rsid w:val="00FB7323"/>
    <w:rsid w:val="00FC09A5"/>
    <w:rsid w:val="00FC295B"/>
    <w:rsid w:val="00FC5566"/>
    <w:rsid w:val="00FC6F3D"/>
    <w:rsid w:val="00FC6FCE"/>
    <w:rsid w:val="00FC7874"/>
    <w:rsid w:val="00FD01D3"/>
    <w:rsid w:val="00FD0CF8"/>
    <w:rsid w:val="00FD1872"/>
    <w:rsid w:val="00FD2139"/>
    <w:rsid w:val="00FD22C1"/>
    <w:rsid w:val="00FD2CA4"/>
    <w:rsid w:val="00FD3801"/>
    <w:rsid w:val="00FD3E7F"/>
    <w:rsid w:val="00FD50A6"/>
    <w:rsid w:val="00FD6CF6"/>
    <w:rsid w:val="00FD71B9"/>
    <w:rsid w:val="00FD7638"/>
    <w:rsid w:val="00FE0194"/>
    <w:rsid w:val="00FE027A"/>
    <w:rsid w:val="00FE0ABD"/>
    <w:rsid w:val="00FE17DF"/>
    <w:rsid w:val="00FE5DA1"/>
    <w:rsid w:val="00FF09C2"/>
    <w:rsid w:val="00FF0EBA"/>
    <w:rsid w:val="00FF1EF4"/>
    <w:rsid w:val="00FF200B"/>
    <w:rsid w:val="00FF26D5"/>
    <w:rsid w:val="00FF34DD"/>
    <w:rsid w:val="00FF4863"/>
    <w:rsid w:val="00FF729F"/>
    <w:rsid w:val="02D15453"/>
    <w:rsid w:val="0AD03385"/>
    <w:rsid w:val="0E84F70E"/>
    <w:rsid w:val="11DEDBE9"/>
    <w:rsid w:val="12E0D14E"/>
    <w:rsid w:val="139AE4C5"/>
    <w:rsid w:val="13D33EA5"/>
    <w:rsid w:val="1DD505CA"/>
    <w:rsid w:val="2758A079"/>
    <w:rsid w:val="283D41DE"/>
    <w:rsid w:val="378DB647"/>
    <w:rsid w:val="3D7391FF"/>
    <w:rsid w:val="3FA173DC"/>
    <w:rsid w:val="404A4A14"/>
    <w:rsid w:val="411E6B0E"/>
    <w:rsid w:val="428B2C4A"/>
    <w:rsid w:val="4AC9F25A"/>
    <w:rsid w:val="529AF355"/>
    <w:rsid w:val="561BBF4A"/>
    <w:rsid w:val="5854B5F9"/>
    <w:rsid w:val="623AE7D8"/>
    <w:rsid w:val="64DF03A6"/>
    <w:rsid w:val="69002F73"/>
    <w:rsid w:val="6AE905F0"/>
    <w:rsid w:val="6FF0AF2D"/>
    <w:rsid w:val="7DC32F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E1402"/>
  <w15:docId w15:val="{6B59C2C5-5141-45D7-AFC6-699542F3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005"/>
    <w:pPr>
      <w:spacing w:after="160" w:line="259" w:lineRule="auto"/>
    </w:pPr>
    <w:rPr>
      <w:rFonts w:ascii="Arial" w:eastAsia="Calibri" w:hAnsi="Arial" w:cs="Times New Roman"/>
      <w:color w:val="000000"/>
      <w:sz w:val="22"/>
      <w:lang w:val="fr-CA" w:eastAsia="en"/>
    </w:rPr>
  </w:style>
  <w:style w:type="paragraph" w:styleId="Heading1">
    <w:name w:val="heading 1"/>
    <w:next w:val="Normal"/>
    <w:link w:val="Heading1Char"/>
    <w:uiPriority w:val="9"/>
    <w:qFormat/>
    <w:rsid w:val="002E0005"/>
    <w:pPr>
      <w:keepNext/>
      <w:keepLines/>
      <w:spacing w:line="259" w:lineRule="auto"/>
      <w:ind w:left="38"/>
      <w:outlineLvl w:val="0"/>
    </w:pPr>
    <w:rPr>
      <w:rFonts w:ascii="Arial" w:eastAsia="Calibri" w:hAnsi="Arial" w:cs="Calibri"/>
      <w:color w:val="002060"/>
      <w:sz w:val="40"/>
    </w:rPr>
  </w:style>
  <w:style w:type="paragraph" w:styleId="Heading2">
    <w:name w:val="heading 2"/>
    <w:basedOn w:val="Normal"/>
    <w:next w:val="Normal"/>
    <w:link w:val="Heading2Char"/>
    <w:uiPriority w:val="9"/>
    <w:unhideWhenUsed/>
    <w:qFormat/>
    <w:rsid w:val="002E0005"/>
    <w:pPr>
      <w:keepNext/>
      <w:keepLines/>
      <w:spacing w:before="40" w:after="0"/>
      <w:outlineLvl w:val="1"/>
    </w:pPr>
    <w:rPr>
      <w:rFonts w:eastAsiaTheme="majorEastAsia" w:cstheme="majorBidi"/>
      <w:color w:val="002060"/>
      <w:sz w:val="32"/>
      <w:szCs w:val="26"/>
    </w:rPr>
  </w:style>
  <w:style w:type="paragraph" w:styleId="Heading3">
    <w:name w:val="heading 3"/>
    <w:basedOn w:val="Normal"/>
    <w:next w:val="Normal"/>
    <w:link w:val="Heading3Char"/>
    <w:uiPriority w:val="9"/>
    <w:unhideWhenUsed/>
    <w:qFormat/>
    <w:rsid w:val="009F37D4"/>
    <w:pPr>
      <w:keepNext/>
      <w:keepLines/>
      <w:spacing w:before="40" w:after="0"/>
      <w:outlineLvl w:val="2"/>
    </w:pPr>
    <w:rPr>
      <w:rFonts w:eastAsiaTheme="majorEastAsia" w:cstheme="majorBidi"/>
      <w:color w:val="2F5496" w:themeColor="accent1" w:themeShade="BF"/>
      <w:sz w:val="24"/>
    </w:rPr>
  </w:style>
  <w:style w:type="paragraph" w:styleId="Heading4">
    <w:name w:val="heading 4"/>
    <w:basedOn w:val="Normal"/>
    <w:next w:val="Normal"/>
    <w:link w:val="Heading4Char"/>
    <w:uiPriority w:val="9"/>
    <w:unhideWhenUsed/>
    <w:qFormat/>
    <w:rsid w:val="001B41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95F9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075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0005"/>
    <w:rPr>
      <w:rFonts w:ascii="Arial" w:eastAsia="Calibri" w:hAnsi="Arial" w:cs="Calibri"/>
      <w:color w:val="002060"/>
      <w:sz w:val="40"/>
    </w:rPr>
  </w:style>
  <w:style w:type="paragraph" w:styleId="Header">
    <w:name w:val="header"/>
    <w:basedOn w:val="Normal"/>
    <w:link w:val="HeaderChar"/>
    <w:uiPriority w:val="99"/>
    <w:unhideWhenUsed/>
    <w:rsid w:val="0036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38D"/>
    <w:rPr>
      <w:rFonts w:ascii="Calibri" w:eastAsia="Calibri" w:hAnsi="Calibri" w:cs="Times New Roman"/>
      <w:color w:val="000000"/>
      <w:sz w:val="22"/>
      <w:lang w:val="en" w:eastAsia="en"/>
    </w:rPr>
  </w:style>
  <w:style w:type="paragraph" w:styleId="Footer">
    <w:name w:val="footer"/>
    <w:basedOn w:val="Normal"/>
    <w:link w:val="FooterChar"/>
    <w:uiPriority w:val="99"/>
    <w:unhideWhenUsed/>
    <w:rsid w:val="0036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8D"/>
    <w:rPr>
      <w:rFonts w:ascii="Calibri" w:eastAsia="Calibri" w:hAnsi="Calibri" w:cs="Times New Roman"/>
      <w:color w:val="000000"/>
      <w:sz w:val="22"/>
      <w:lang w:val="en" w:eastAsia="en"/>
    </w:rPr>
  </w:style>
  <w:style w:type="character" w:styleId="LineNumber">
    <w:name w:val="line number"/>
    <w:basedOn w:val="DefaultParagraphFont"/>
    <w:uiPriority w:val="99"/>
    <w:semiHidden/>
    <w:unhideWhenUsed/>
    <w:rsid w:val="0036538D"/>
  </w:style>
  <w:style w:type="character" w:styleId="PageNumber">
    <w:name w:val="page number"/>
    <w:basedOn w:val="DefaultParagraphFont"/>
    <w:uiPriority w:val="99"/>
    <w:semiHidden/>
    <w:unhideWhenUsed/>
    <w:rsid w:val="0036538D"/>
  </w:style>
  <w:style w:type="character" w:styleId="Hyperlink">
    <w:name w:val="Hyperlink"/>
    <w:basedOn w:val="DefaultParagraphFont"/>
    <w:uiPriority w:val="99"/>
    <w:unhideWhenUsed/>
    <w:rsid w:val="0036538D"/>
    <w:rPr>
      <w:color w:val="0563C1" w:themeColor="hyperlink"/>
      <w:u w:val="single"/>
    </w:rPr>
  </w:style>
  <w:style w:type="character" w:styleId="UnresolvedMention">
    <w:name w:val="Unresolved Mention"/>
    <w:basedOn w:val="DefaultParagraphFont"/>
    <w:uiPriority w:val="99"/>
    <w:semiHidden/>
    <w:unhideWhenUsed/>
    <w:rsid w:val="0036538D"/>
    <w:rPr>
      <w:color w:val="605E5C"/>
      <w:shd w:val="clear" w:color="auto" w:fill="E1DFDD"/>
    </w:rPr>
  </w:style>
  <w:style w:type="character" w:styleId="FollowedHyperlink">
    <w:name w:val="FollowedHyperlink"/>
    <w:basedOn w:val="DefaultParagraphFont"/>
    <w:uiPriority w:val="99"/>
    <w:semiHidden/>
    <w:unhideWhenUsed/>
    <w:rsid w:val="00EF6BEB"/>
    <w:rPr>
      <w:color w:val="954F72" w:themeColor="followedHyperlink"/>
      <w:u w:val="single"/>
    </w:rPr>
  </w:style>
  <w:style w:type="paragraph" w:customStyle="1" w:styleId="Header3">
    <w:name w:val="Header 3"/>
    <w:basedOn w:val="Normal"/>
    <w:next w:val="Heading3"/>
    <w:qFormat/>
    <w:rsid w:val="002E0005"/>
    <w:pPr>
      <w:tabs>
        <w:tab w:val="right" w:pos="9485"/>
      </w:tabs>
      <w:spacing w:after="0"/>
    </w:pPr>
    <w:rPr>
      <w:color w:val="002060"/>
      <w:sz w:val="28"/>
    </w:rPr>
  </w:style>
  <w:style w:type="character" w:customStyle="1" w:styleId="Heading3Char">
    <w:name w:val="Heading 3 Char"/>
    <w:basedOn w:val="DefaultParagraphFont"/>
    <w:link w:val="Heading3"/>
    <w:uiPriority w:val="9"/>
    <w:rsid w:val="009F37D4"/>
    <w:rPr>
      <w:rFonts w:ascii="Arial" w:eastAsiaTheme="majorEastAsia" w:hAnsi="Arial" w:cstheme="majorBidi"/>
      <w:color w:val="2F5496" w:themeColor="accent1" w:themeShade="BF"/>
      <w:lang w:val="en" w:eastAsia="en"/>
    </w:rPr>
  </w:style>
  <w:style w:type="character" w:customStyle="1" w:styleId="Heading2Char">
    <w:name w:val="Heading 2 Char"/>
    <w:basedOn w:val="DefaultParagraphFont"/>
    <w:link w:val="Heading2"/>
    <w:uiPriority w:val="9"/>
    <w:rsid w:val="002E0005"/>
    <w:rPr>
      <w:rFonts w:ascii="Arial" w:eastAsiaTheme="majorEastAsia" w:hAnsi="Arial" w:cstheme="majorBidi"/>
      <w:color w:val="002060"/>
      <w:sz w:val="32"/>
      <w:szCs w:val="26"/>
      <w:lang w:val="en" w:eastAsia="en"/>
    </w:rPr>
  </w:style>
  <w:style w:type="paragraph" w:styleId="ListParagraph">
    <w:name w:val="List Paragraph"/>
    <w:basedOn w:val="Normal"/>
    <w:uiPriority w:val="34"/>
    <w:qFormat/>
    <w:rsid w:val="009F37D4"/>
    <w:pPr>
      <w:ind w:left="720"/>
      <w:contextualSpacing/>
    </w:pPr>
    <w:rPr>
      <w:rFonts w:eastAsiaTheme="minorHAnsi" w:cstheme="minorBidi"/>
      <w:color w:val="auto"/>
      <w:szCs w:val="22"/>
      <w:lang w:val="en-US" w:eastAsia="en-US"/>
    </w:rPr>
  </w:style>
  <w:style w:type="character" w:customStyle="1" w:styleId="Heading4Char">
    <w:name w:val="Heading 4 Char"/>
    <w:basedOn w:val="DefaultParagraphFont"/>
    <w:link w:val="Heading4"/>
    <w:uiPriority w:val="9"/>
    <w:rsid w:val="001B41D3"/>
    <w:rPr>
      <w:rFonts w:asciiTheme="majorHAnsi" w:eastAsiaTheme="majorEastAsia" w:hAnsiTheme="majorHAnsi" w:cstheme="majorBidi"/>
      <w:i/>
      <w:iCs/>
      <w:color w:val="2F5496" w:themeColor="accent1" w:themeShade="BF"/>
      <w:sz w:val="22"/>
      <w:lang w:val="en" w:eastAsia="en"/>
    </w:rPr>
  </w:style>
  <w:style w:type="character" w:customStyle="1" w:styleId="Heading5Char">
    <w:name w:val="Heading 5 Char"/>
    <w:basedOn w:val="DefaultParagraphFont"/>
    <w:link w:val="Heading5"/>
    <w:uiPriority w:val="9"/>
    <w:rsid w:val="00995F9B"/>
    <w:rPr>
      <w:rFonts w:asciiTheme="majorHAnsi" w:eastAsiaTheme="majorEastAsia" w:hAnsiTheme="majorHAnsi" w:cstheme="majorBidi"/>
      <w:color w:val="2F5496" w:themeColor="accent1" w:themeShade="BF"/>
      <w:sz w:val="22"/>
      <w:lang w:val="en" w:eastAsia="en"/>
    </w:rPr>
  </w:style>
  <w:style w:type="character" w:customStyle="1" w:styleId="Heading6Char">
    <w:name w:val="Heading 6 Char"/>
    <w:basedOn w:val="DefaultParagraphFont"/>
    <w:link w:val="Heading6"/>
    <w:uiPriority w:val="9"/>
    <w:rsid w:val="00B075FC"/>
    <w:rPr>
      <w:rFonts w:asciiTheme="majorHAnsi" w:eastAsiaTheme="majorEastAsia" w:hAnsiTheme="majorHAnsi" w:cstheme="majorBidi"/>
      <w:color w:val="1F3763" w:themeColor="accent1" w:themeShade="7F"/>
      <w:sz w:val="22"/>
      <w:lang w:val="en" w:eastAsia="en"/>
    </w:rPr>
  </w:style>
  <w:style w:type="character" w:styleId="CommentReference">
    <w:name w:val="annotation reference"/>
    <w:basedOn w:val="DefaultParagraphFont"/>
    <w:uiPriority w:val="99"/>
    <w:semiHidden/>
    <w:unhideWhenUsed/>
    <w:rsid w:val="002C2B00"/>
    <w:rPr>
      <w:sz w:val="16"/>
      <w:szCs w:val="16"/>
    </w:rPr>
  </w:style>
  <w:style w:type="paragraph" w:styleId="CommentText">
    <w:name w:val="annotation text"/>
    <w:basedOn w:val="Normal"/>
    <w:link w:val="CommentTextChar"/>
    <w:uiPriority w:val="99"/>
    <w:unhideWhenUsed/>
    <w:rsid w:val="002C2B00"/>
    <w:pPr>
      <w:spacing w:line="240" w:lineRule="auto"/>
    </w:pPr>
    <w:rPr>
      <w:sz w:val="20"/>
      <w:szCs w:val="20"/>
    </w:rPr>
  </w:style>
  <w:style w:type="character" w:customStyle="1" w:styleId="CommentTextChar">
    <w:name w:val="Comment Text Char"/>
    <w:basedOn w:val="DefaultParagraphFont"/>
    <w:link w:val="CommentText"/>
    <w:uiPriority w:val="99"/>
    <w:rsid w:val="002C2B00"/>
    <w:rPr>
      <w:rFonts w:ascii="Arial" w:eastAsia="Calibri" w:hAnsi="Arial" w:cs="Times New Roman"/>
      <w:color w:val="000000"/>
      <w:sz w:val="20"/>
      <w:szCs w:val="20"/>
      <w:lang w:eastAsia="en"/>
    </w:rPr>
  </w:style>
  <w:style w:type="paragraph" w:styleId="CommentSubject">
    <w:name w:val="annotation subject"/>
    <w:basedOn w:val="CommentText"/>
    <w:next w:val="CommentText"/>
    <w:link w:val="CommentSubjectChar"/>
    <w:uiPriority w:val="99"/>
    <w:semiHidden/>
    <w:unhideWhenUsed/>
    <w:rsid w:val="002C2B00"/>
    <w:rPr>
      <w:b/>
      <w:bCs/>
    </w:rPr>
  </w:style>
  <w:style w:type="character" w:customStyle="1" w:styleId="CommentSubjectChar">
    <w:name w:val="Comment Subject Char"/>
    <w:basedOn w:val="CommentTextChar"/>
    <w:link w:val="CommentSubject"/>
    <w:uiPriority w:val="99"/>
    <w:semiHidden/>
    <w:rsid w:val="002C2B00"/>
    <w:rPr>
      <w:rFonts w:ascii="Arial" w:eastAsia="Calibri" w:hAnsi="Arial" w:cs="Times New Roman"/>
      <w:b/>
      <w:bCs/>
      <w:color w:val="000000"/>
      <w:sz w:val="20"/>
      <w:szCs w:val="20"/>
      <w:lang w:eastAsia="en"/>
    </w:rPr>
  </w:style>
  <w:style w:type="character" w:styleId="Mention">
    <w:name w:val="Mention"/>
    <w:basedOn w:val="DefaultParagraphFont"/>
    <w:uiPriority w:val="99"/>
    <w:unhideWhenUsed/>
    <w:rsid w:val="002C2B00"/>
    <w:rPr>
      <w:color w:val="2B579A"/>
      <w:shd w:val="clear" w:color="auto" w:fill="E1DFDD"/>
    </w:rPr>
  </w:style>
  <w:style w:type="paragraph" w:styleId="Revision">
    <w:name w:val="Revision"/>
    <w:hidden/>
    <w:uiPriority w:val="99"/>
    <w:semiHidden/>
    <w:rsid w:val="00C37F3B"/>
    <w:rPr>
      <w:rFonts w:ascii="Arial" w:eastAsia="Calibri" w:hAnsi="Arial" w:cs="Times New Roman"/>
      <w:color w:val="000000"/>
      <w:sz w:val="22"/>
      <w:lang w:eastAsia="en"/>
    </w:rPr>
  </w:style>
  <w:style w:type="paragraph" w:styleId="EndnoteText">
    <w:name w:val="endnote text"/>
    <w:basedOn w:val="Normal"/>
    <w:link w:val="EndnoteTextChar"/>
    <w:uiPriority w:val="99"/>
    <w:unhideWhenUsed/>
    <w:rsid w:val="00A74EE8"/>
    <w:pPr>
      <w:spacing w:after="0" w:line="240" w:lineRule="auto"/>
    </w:pPr>
    <w:rPr>
      <w:sz w:val="20"/>
      <w:szCs w:val="20"/>
    </w:rPr>
  </w:style>
  <w:style w:type="character" w:customStyle="1" w:styleId="EndnoteTextChar">
    <w:name w:val="Endnote Text Char"/>
    <w:basedOn w:val="DefaultParagraphFont"/>
    <w:link w:val="EndnoteText"/>
    <w:uiPriority w:val="99"/>
    <w:rsid w:val="00A74EE8"/>
    <w:rPr>
      <w:rFonts w:ascii="Arial" w:eastAsia="Calibri" w:hAnsi="Arial" w:cs="Times New Roman"/>
      <w:color w:val="000000"/>
      <w:sz w:val="20"/>
      <w:szCs w:val="20"/>
      <w:lang w:eastAsia="en"/>
    </w:rPr>
  </w:style>
  <w:style w:type="character" w:styleId="EndnoteReference">
    <w:name w:val="endnote reference"/>
    <w:basedOn w:val="DefaultParagraphFont"/>
    <w:uiPriority w:val="99"/>
    <w:unhideWhenUsed/>
    <w:rsid w:val="00A74EE8"/>
    <w:rPr>
      <w:vertAlign w:val="superscript"/>
    </w:rPr>
  </w:style>
  <w:style w:type="paragraph" w:styleId="FootnoteText">
    <w:name w:val="footnote text"/>
    <w:basedOn w:val="Normal"/>
    <w:link w:val="FootnoteTextChar"/>
    <w:uiPriority w:val="99"/>
    <w:semiHidden/>
    <w:unhideWhenUsed/>
    <w:rsid w:val="00A74E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4EE8"/>
    <w:rPr>
      <w:rFonts w:ascii="Arial" w:eastAsia="Calibri" w:hAnsi="Arial" w:cs="Times New Roman"/>
      <w:color w:val="000000"/>
      <w:sz w:val="20"/>
      <w:szCs w:val="20"/>
      <w:lang w:eastAsia="en"/>
    </w:rPr>
  </w:style>
  <w:style w:type="character" w:styleId="FootnoteReference">
    <w:name w:val="footnote reference"/>
    <w:basedOn w:val="DefaultParagraphFont"/>
    <w:uiPriority w:val="99"/>
    <w:unhideWhenUsed/>
    <w:rsid w:val="00A74EE8"/>
    <w:rPr>
      <w:vertAlign w:val="superscript"/>
    </w:rPr>
  </w:style>
  <w:style w:type="character" w:customStyle="1" w:styleId="ui-provider">
    <w:name w:val="ui-provider"/>
    <w:basedOn w:val="DefaultParagraphFont"/>
    <w:rsid w:val="00E003DA"/>
  </w:style>
  <w:style w:type="paragraph" w:styleId="TOC1">
    <w:name w:val="toc 1"/>
    <w:basedOn w:val="Normal"/>
    <w:next w:val="Normal"/>
    <w:autoRedefine/>
    <w:uiPriority w:val="39"/>
    <w:unhideWhenUsed/>
    <w:rsid w:val="000C7621"/>
    <w:pPr>
      <w:spacing w:after="100"/>
    </w:pPr>
  </w:style>
  <w:style w:type="paragraph" w:styleId="TOC2">
    <w:name w:val="toc 2"/>
    <w:basedOn w:val="Normal"/>
    <w:next w:val="Normal"/>
    <w:autoRedefine/>
    <w:uiPriority w:val="39"/>
    <w:unhideWhenUsed/>
    <w:rsid w:val="000C7621"/>
    <w:pPr>
      <w:spacing w:after="100"/>
      <w:ind w:left="220"/>
    </w:pPr>
  </w:style>
  <w:style w:type="paragraph" w:styleId="Bibliography">
    <w:name w:val="Bibliography"/>
    <w:basedOn w:val="Normal"/>
    <w:next w:val="Normal"/>
    <w:uiPriority w:val="37"/>
    <w:semiHidden/>
    <w:unhideWhenUsed/>
    <w:rsid w:val="004A1FBC"/>
    <w:pPr>
      <w:spacing w:line="256" w:lineRule="auto"/>
    </w:pPr>
    <w:rPr>
      <w:rFonts w:asciiTheme="minorHAnsi" w:eastAsiaTheme="minorHAnsi" w:hAnsiTheme="minorHAnsi" w:cstheme="minorBidi"/>
      <w:color w:val="auto"/>
      <w:szCs w:val="22"/>
      <w:lang w:val="en-US" w:eastAsia="en-US"/>
    </w:rPr>
  </w:style>
  <w:style w:type="table" w:styleId="TableGrid">
    <w:name w:val="Table Grid"/>
    <w:basedOn w:val="TableNormal"/>
    <w:uiPriority w:val="39"/>
    <w:rsid w:val="0072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742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3596">
      <w:bodyDiv w:val="1"/>
      <w:marLeft w:val="0"/>
      <w:marRight w:val="0"/>
      <w:marTop w:val="0"/>
      <w:marBottom w:val="0"/>
      <w:divBdr>
        <w:top w:val="none" w:sz="0" w:space="0" w:color="auto"/>
        <w:left w:val="none" w:sz="0" w:space="0" w:color="auto"/>
        <w:bottom w:val="none" w:sz="0" w:space="0" w:color="auto"/>
        <w:right w:val="none" w:sz="0" w:space="0" w:color="auto"/>
      </w:divBdr>
    </w:div>
    <w:div w:id="1845704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doi.org/10.1037/stl0000194" TargetMode="External"/><Relationship Id="rId13" Type="http://schemas.openxmlformats.org/officeDocument/2006/relationships/hyperlink" Target="https://doi.org/10.3389/feduc.2022.864752" TargetMode="External"/><Relationship Id="rId18" Type="http://schemas.openxmlformats.org/officeDocument/2006/relationships/hyperlink" Target="https://doi.org/10.1007/s10926-022-10076-1" TargetMode="External"/><Relationship Id="rId3" Type="http://schemas.openxmlformats.org/officeDocument/2006/relationships/hyperlink" Target="https://doi.org/10.5683/SP3/DDEETL" TargetMode="External"/><Relationship Id="rId7" Type="http://schemas.openxmlformats.org/officeDocument/2006/relationships/hyperlink" Target="https://www.neads.ca/en/about/media/AccessibilityandAccommodation%202018-5landscapereport.pdf" TargetMode="External"/><Relationship Id="rId12" Type="http://schemas.openxmlformats.org/officeDocument/2006/relationships/hyperlink" Target="https://doi.org/10.1186/s12889-023-15452-x" TargetMode="External"/><Relationship Id="rId17" Type="http://schemas.openxmlformats.org/officeDocument/2006/relationships/hyperlink" Target="https://www23.statcan.gc.ca/imdb/p2SV_f.pl?Function=getSurvey&amp;SDDS=5012" TargetMode="External"/><Relationship Id="rId2" Type="http://schemas.openxmlformats.org/officeDocument/2006/relationships/hyperlink" Target="https://heqco.ca/wp-content/uploads/2021/06/Postsecondary-Credential-Attainment-and-Labour-Market-Outcomes-for-Ontario-Students-with-Disabilities_FINAL.pdf" TargetMode="External"/><Relationship Id="rId16" Type="http://schemas.openxmlformats.org/officeDocument/2006/relationships/hyperlink" Target="https://doi.org/10.1007/s10869-018-9602-5" TargetMode="External"/><Relationship Id="rId1" Type="http://schemas.openxmlformats.org/officeDocument/2006/relationships/hyperlink" Target="https://lmic-cimt.ca/eligible-bachelors-canadas-newest-university-graduates-face-an-increasingly-challenging-job-market/" TargetMode="External"/><Relationship Id="rId6" Type="http://schemas.openxmlformats.org/officeDocument/2006/relationships/hyperlink" Target="https://lmic-cimt.ca/labour-market-resilience-in-the-face-of-an-aging-population/" TargetMode="External"/><Relationship Id="rId11" Type="http://schemas.openxmlformats.org/officeDocument/2006/relationships/hyperlink" Target="https://www150.statcan.gc.ca/n1/pub/89-654-x/89-654-x2024002-fra.htm" TargetMode="External"/><Relationship Id="rId5" Type="http://schemas.openxmlformats.org/officeDocument/2006/relationships/hyperlink" Target="https://www150.statcan.gc.ca/n1/pub/89-654-x/89-654-x2024001-fra.htm" TargetMode="External"/><Relationship Id="rId15" Type="http://schemas.openxmlformats.org/officeDocument/2006/relationships/hyperlink" Target="https://doi.org/10.3109/09638288.2015.1092174" TargetMode="External"/><Relationship Id="rId10" Type="http://schemas.openxmlformats.org/officeDocument/2006/relationships/hyperlink" Target="https://www150.statcan.gc.ca/n1/pub/12-581-x/2022001/sec6-fra.htm" TargetMode="External"/><Relationship Id="rId19" Type="http://schemas.openxmlformats.org/officeDocument/2006/relationships/hyperlink" Target="https://doi.org/10.1080/09687599.2020.1822784" TargetMode="External"/><Relationship Id="rId4" Type="http://schemas.openxmlformats.org/officeDocument/2006/relationships/hyperlink" Target="https://www150.statcan.gc.ca/n1/pub/89-654-x/89-654-x2018002-fra.htm" TargetMode="External"/><Relationship Id="rId9" Type="http://schemas.openxmlformats.org/officeDocument/2006/relationships/hyperlink" Target="https://www150.statcan.gc.ca/t1/tbl1/fr/tv.action?pid=3710013502&amp;request_locale=fr" TargetMode="External"/><Relationship Id="rId14" Type="http://schemas.openxmlformats.org/officeDocument/2006/relationships/hyperlink" Target="https://doi.org/10.3109/09638288.2015.1107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ccrworg.sharepoint.com/sites/ResearchTeam/Shared%20Documents/General/SURF%20-%20ASC/Data/Quantitative%20Data/Baseline%20Survey/SURF%20Baseline%20Survey%20-%20CCRW%20-%20Combined%20Cleaned%20and%20Deidentifi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crworg.sharepoint.com/sites/ResearchTeam/Shared%20Documents/General/SURF%20-%20ASC/Data/Quantitative%20Data/Baseline%20Survey/SURF%20Baseline%20Survey%20-%20CCRW%20-%20Combined%20Cleaned%20and%20Deidentifi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Durée prévue de la recherche d’emploi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'Basic Descriptives'!$A$249:$E$249</c:f>
              <c:strCache>
                <c:ptCount val="5"/>
                <c:pt idx="0">
                  <c:v>Moins d’un mois</c:v>
                </c:pt>
                <c:pt idx="1">
                  <c:v>De 1 à moins de 2 mois</c:v>
                </c:pt>
                <c:pt idx="2">
                  <c:v>De 2 à moins de 3 mois</c:v>
                </c:pt>
                <c:pt idx="3">
                  <c:v>De 3 à moins de 6 mois</c:v>
                </c:pt>
                <c:pt idx="4">
                  <c:v>6 mois ou plus</c:v>
                </c:pt>
              </c:strCache>
            </c:strRef>
          </c:cat>
          <c:val>
            <c:numRef>
              <c:f>'Basic Descriptives'!$A$250:$E$250</c:f>
              <c:numCache>
                <c:formatCode>General</c:formatCode>
                <c:ptCount val="5"/>
                <c:pt idx="0">
                  <c:v>30</c:v>
                </c:pt>
                <c:pt idx="1">
                  <c:v>74</c:v>
                </c:pt>
                <c:pt idx="2">
                  <c:v>91</c:v>
                </c:pt>
                <c:pt idx="3">
                  <c:v>52</c:v>
                </c:pt>
                <c:pt idx="4">
                  <c:v>39</c:v>
                </c:pt>
              </c:numCache>
            </c:numRef>
          </c:val>
          <c:extLst>
            <c:ext xmlns:c16="http://schemas.microsoft.com/office/drawing/2014/chart" uri="{C3380CC4-5D6E-409C-BE32-E72D297353CC}">
              <c16:uniqueId val="{00000000-2411-47DD-ABB9-5A823926D789}"/>
            </c:ext>
          </c:extLst>
        </c:ser>
        <c:dLbls>
          <c:dLblPos val="outEnd"/>
          <c:showLegendKey val="0"/>
          <c:showVal val="1"/>
          <c:showCatName val="0"/>
          <c:showSerName val="0"/>
          <c:showPercent val="0"/>
          <c:showBubbleSize val="0"/>
        </c:dLbls>
        <c:gapWidth val="219"/>
        <c:overlap val="-27"/>
        <c:axId val="1641484304"/>
        <c:axId val="1641487184"/>
      </c:barChart>
      <c:catAx>
        <c:axId val="164148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487184"/>
        <c:crosses val="autoZero"/>
        <c:auto val="1"/>
        <c:lblAlgn val="ctr"/>
        <c:lblOffset val="100"/>
        <c:noMultiLvlLbl val="0"/>
      </c:catAx>
      <c:valAx>
        <c:axId val="164148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4843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A" sz="1400" b="0" i="0" u="none" strike="noStrike" baseline="0">
                <a:effectLst/>
              </a:rPr>
              <a:t>Salaire prévu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'Basic Descriptives'!$A$101:$I$101</c:f>
              <c:strCache>
                <c:ptCount val="9"/>
                <c:pt idx="0">
                  <c:v>30 000 $ ou moins</c:v>
                </c:pt>
                <c:pt idx="1">
                  <c:v>30 000 $ à 39 999 $</c:v>
                </c:pt>
                <c:pt idx="2">
                  <c:v>40 000 $ à 49 999 $</c:v>
                </c:pt>
                <c:pt idx="3">
                  <c:v>50 000 $ à 59 999 $</c:v>
                </c:pt>
                <c:pt idx="4">
                  <c:v>60 000 $ à 69 999 $</c:v>
                </c:pt>
                <c:pt idx="5">
                  <c:v>70 000 $ à 79 999 $</c:v>
                </c:pt>
                <c:pt idx="6">
                  <c:v>80 000 $ à 89 999 $</c:v>
                </c:pt>
                <c:pt idx="7">
                  <c:v>90 000 $ à 99 999 $</c:v>
                </c:pt>
                <c:pt idx="8">
                  <c:v>100 000 $ ou plus</c:v>
                </c:pt>
              </c:strCache>
            </c:strRef>
          </c:cat>
          <c:val>
            <c:numRef>
              <c:f>'Basic Descriptives'!$A$102:$I$102</c:f>
              <c:numCache>
                <c:formatCode>General</c:formatCode>
                <c:ptCount val="9"/>
                <c:pt idx="0">
                  <c:v>15</c:v>
                </c:pt>
                <c:pt idx="1">
                  <c:v>27</c:v>
                </c:pt>
                <c:pt idx="2">
                  <c:v>40</c:v>
                </c:pt>
                <c:pt idx="3">
                  <c:v>53</c:v>
                </c:pt>
                <c:pt idx="4">
                  <c:v>62</c:v>
                </c:pt>
                <c:pt idx="5">
                  <c:v>44</c:v>
                </c:pt>
                <c:pt idx="6">
                  <c:v>21</c:v>
                </c:pt>
                <c:pt idx="7">
                  <c:v>14</c:v>
                </c:pt>
                <c:pt idx="8">
                  <c:v>8</c:v>
                </c:pt>
              </c:numCache>
            </c:numRef>
          </c:val>
          <c:extLst>
            <c:ext xmlns:c16="http://schemas.microsoft.com/office/drawing/2014/chart" uri="{C3380CC4-5D6E-409C-BE32-E72D297353CC}">
              <c16:uniqueId val="{00000000-DE5B-48E4-AC16-3EB79896E1F3}"/>
            </c:ext>
          </c:extLst>
        </c:ser>
        <c:dLbls>
          <c:dLblPos val="outEnd"/>
          <c:showLegendKey val="0"/>
          <c:showVal val="1"/>
          <c:showCatName val="0"/>
          <c:showSerName val="0"/>
          <c:showPercent val="0"/>
          <c:showBubbleSize val="0"/>
        </c:dLbls>
        <c:gapWidth val="219"/>
        <c:overlap val="-27"/>
        <c:axId val="1643588624"/>
        <c:axId val="1643579024"/>
      </c:barChart>
      <c:catAx>
        <c:axId val="164358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579024"/>
        <c:crosses val="autoZero"/>
        <c:auto val="1"/>
        <c:lblAlgn val="ctr"/>
        <c:lblOffset val="100"/>
        <c:noMultiLvlLbl val="0"/>
      </c:catAx>
      <c:valAx>
        <c:axId val="164357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588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Durée réelle de la recherche d’emploi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Moins d’un mois</c:v>
                </c:pt>
                <c:pt idx="1">
                  <c:v>De 1 à moins de 2 mois</c:v>
                </c:pt>
                <c:pt idx="2">
                  <c:v>De 2 à moins de 3 mois</c:v>
                </c:pt>
                <c:pt idx="3">
                  <c:v>De 3 à moins de 6 mois</c:v>
                </c:pt>
                <c:pt idx="4">
                  <c:v>6 mois ou plus</c:v>
                </c:pt>
              </c:strCache>
            </c:strRef>
          </c:cat>
          <c:val>
            <c:numRef>
              <c:f>Sheet1!$B$2:$B$6</c:f>
              <c:numCache>
                <c:formatCode>General</c:formatCode>
                <c:ptCount val="5"/>
                <c:pt idx="0">
                  <c:v>11</c:v>
                </c:pt>
                <c:pt idx="1">
                  <c:v>1</c:v>
                </c:pt>
                <c:pt idx="2">
                  <c:v>2</c:v>
                </c:pt>
                <c:pt idx="3">
                  <c:v>4</c:v>
                </c:pt>
                <c:pt idx="4">
                  <c:v>3</c:v>
                </c:pt>
              </c:numCache>
            </c:numRef>
          </c:val>
          <c:extLst>
            <c:ext xmlns:c16="http://schemas.microsoft.com/office/drawing/2014/chart" uri="{C3380CC4-5D6E-409C-BE32-E72D297353CC}">
              <c16:uniqueId val="{00000000-BCCB-4A60-A7C7-268ED252C62A}"/>
            </c:ext>
          </c:extLst>
        </c:ser>
        <c:dLbls>
          <c:showLegendKey val="0"/>
          <c:showVal val="0"/>
          <c:showCatName val="0"/>
          <c:showSerName val="0"/>
          <c:showPercent val="0"/>
          <c:showBubbleSize val="0"/>
        </c:dLbls>
        <c:gapWidth val="219"/>
        <c:overlap val="-27"/>
        <c:axId val="1245598111"/>
        <c:axId val="1245581791"/>
      </c:barChart>
      <c:catAx>
        <c:axId val="1245598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581791"/>
        <c:crosses val="autoZero"/>
        <c:auto val="1"/>
        <c:lblAlgn val="ctr"/>
        <c:lblOffset val="100"/>
        <c:noMultiLvlLbl val="0"/>
      </c:catAx>
      <c:valAx>
        <c:axId val="1245581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5981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Discrimination de la part des employeurs</c:v>
                </c:pt>
                <c:pt idx="1">
                  <c:v>Processus de candidature ou d’embauche inaccessible</c:v>
                </c:pt>
                <c:pt idx="2">
                  <c:v>Manque de réseaux professionnels</c:v>
                </c:pt>
                <c:pt idx="3">
                  <c:v>Offres d’emploi de faible qualité</c:v>
                </c:pt>
                <c:pt idx="4">
                  <c:v>Manque de compétences requises</c:v>
                </c:pt>
                <c:pt idx="5">
                  <c:v>Manque d’expérience</c:v>
                </c:pt>
                <c:pt idx="6">
                  <c:v>Disponibilité des emplois</c:v>
                </c:pt>
              </c:strCache>
            </c:strRef>
          </c:cat>
          <c:val>
            <c:numRef>
              <c:f>Sheet1!$B$2:$B$8</c:f>
              <c:numCache>
                <c:formatCode>General</c:formatCode>
                <c:ptCount val="7"/>
                <c:pt idx="0">
                  <c:v>5</c:v>
                </c:pt>
                <c:pt idx="1">
                  <c:v>4</c:v>
                </c:pt>
                <c:pt idx="2">
                  <c:v>5</c:v>
                </c:pt>
                <c:pt idx="3">
                  <c:v>4</c:v>
                </c:pt>
                <c:pt idx="4">
                  <c:v>8</c:v>
                </c:pt>
                <c:pt idx="5">
                  <c:v>12</c:v>
                </c:pt>
                <c:pt idx="6">
                  <c:v>9</c:v>
                </c:pt>
              </c:numCache>
            </c:numRef>
          </c:val>
          <c:extLst>
            <c:ext xmlns:c16="http://schemas.microsoft.com/office/drawing/2014/chart" uri="{C3380CC4-5D6E-409C-BE32-E72D297353CC}">
              <c16:uniqueId val="{00000000-5144-4838-AC1A-ACABEB5B658B}"/>
            </c:ext>
          </c:extLst>
        </c:ser>
        <c:dLbls>
          <c:dLblPos val="outEnd"/>
          <c:showLegendKey val="0"/>
          <c:showVal val="1"/>
          <c:showCatName val="0"/>
          <c:showSerName val="0"/>
          <c:showPercent val="0"/>
          <c:showBubbleSize val="0"/>
        </c:dLbls>
        <c:gapWidth val="182"/>
        <c:axId val="1245611551"/>
        <c:axId val="1245612511"/>
      </c:barChart>
      <c:catAx>
        <c:axId val="124561155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612511"/>
        <c:crosses val="autoZero"/>
        <c:auto val="1"/>
        <c:lblAlgn val="ctr"/>
        <c:lblOffset val="100"/>
        <c:noMultiLvlLbl val="0"/>
      </c:catAx>
      <c:valAx>
        <c:axId val="1245612511"/>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56115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049466ED47D84B82E788DEF7228A87" ma:contentTypeVersion="16" ma:contentTypeDescription="Create a new document." ma:contentTypeScope="" ma:versionID="3e4f16d0c70b23fd2a6bd81f571c3d28">
  <xsd:schema xmlns:xsd="http://www.w3.org/2001/XMLSchema" xmlns:xs="http://www.w3.org/2001/XMLSchema" xmlns:p="http://schemas.microsoft.com/office/2006/metadata/properties" xmlns:ns2="81feb0f6-aa14-4c7f-9fb2-0e7c0c2858a8" xmlns:ns3="f61fc526-369a-4173-9222-99ed8c3bd08c" targetNamespace="http://schemas.microsoft.com/office/2006/metadata/properties" ma:root="true" ma:fieldsID="6cf52c80790a13db2d086c3908f94d51" ns2:_="" ns3:_="">
    <xsd:import namespace="81feb0f6-aa14-4c7f-9fb2-0e7c0c2858a8"/>
    <xsd:import namespace="f61fc526-369a-4173-9222-99ed8c3bd0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eb0f6-aa14-4c7f-9fb2-0e7c0c285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8bad75-d09f-4bfd-a954-b846a31904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fc526-369a-4173-9222-99ed8c3bd0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ff7781b-b04d-47ac-881b-e775e53eafaa}" ma:internalName="TaxCatchAll" ma:showField="CatchAllData" ma:web="f61fc526-369a-4173-9222-99ed8c3bd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61fc526-369a-4173-9222-99ed8c3bd08c" xsi:nil="true"/>
    <lcf76f155ced4ddcb4097134ff3c332f xmlns="81feb0f6-aa14-4c7f-9fb2-0e7c0c2858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22A139-0A50-47DB-BB57-B2AB365F8025}">
  <ds:schemaRefs>
    <ds:schemaRef ds:uri="http://schemas.openxmlformats.org/officeDocument/2006/bibliography"/>
  </ds:schemaRefs>
</ds:datastoreItem>
</file>

<file path=customXml/itemProps2.xml><?xml version="1.0" encoding="utf-8"?>
<ds:datastoreItem xmlns:ds="http://schemas.openxmlformats.org/officeDocument/2006/customXml" ds:itemID="{0D08818D-30ED-4DE2-BDE3-FBE0A1073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eb0f6-aa14-4c7f-9fb2-0e7c0c2858a8"/>
    <ds:schemaRef ds:uri="f61fc526-369a-4173-9222-99ed8c3bd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B3BD0-4174-4832-94A8-591230249569}">
  <ds:schemaRefs>
    <ds:schemaRef ds:uri="http://schemas.microsoft.com/sharepoint/v3/contenttype/forms"/>
  </ds:schemaRefs>
</ds:datastoreItem>
</file>

<file path=customXml/itemProps4.xml><?xml version="1.0" encoding="utf-8"?>
<ds:datastoreItem xmlns:ds="http://schemas.openxmlformats.org/officeDocument/2006/customXml" ds:itemID="{5984CA6A-102F-411D-9CE1-8F5B35A07C6D}">
  <ds:schemaRefs>
    <ds:schemaRef ds:uri="http://schemas.microsoft.com/office/2006/metadata/properties"/>
    <ds:schemaRef ds:uri="http://schemas.microsoft.com/office/infopath/2007/PartnerControls"/>
    <ds:schemaRef ds:uri="f61fc526-369a-4173-9222-99ed8c3bd08c"/>
    <ds:schemaRef ds:uri="81feb0f6-aa14-4c7f-9fb2-0e7c0c2858a8"/>
  </ds:schemaRefs>
</ds:datastoreItem>
</file>

<file path=docProps/app.xml><?xml version="1.0" encoding="utf-8"?>
<Properties xmlns="http://schemas.openxmlformats.org/officeDocument/2006/extended-properties" xmlns:vt="http://schemas.openxmlformats.org/officeDocument/2006/docPropsVTypes">
  <Template>Normal</Template>
  <TotalTime>2485</TotalTime>
  <Pages>43</Pages>
  <Words>17014</Words>
  <Characters>96983</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Cover Page 2023</vt:lpstr>
    </vt:vector>
  </TitlesOfParts>
  <Company/>
  <LinksUpToDate>false</LinksUpToDate>
  <CharactersWithSpaces>113770</CharactersWithSpaces>
  <SharedDoc>false</SharedDoc>
  <HLinks>
    <vt:vector size="42" baseType="variant">
      <vt:variant>
        <vt:i4>6750267</vt:i4>
      </vt:variant>
      <vt:variant>
        <vt:i4>18</vt:i4>
      </vt:variant>
      <vt:variant>
        <vt:i4>0</vt:i4>
      </vt:variant>
      <vt:variant>
        <vt:i4>5</vt:i4>
      </vt:variant>
      <vt:variant>
        <vt:lpwstr>https://doi.org/10.1186/s12889-023-15452-x</vt:lpwstr>
      </vt:variant>
      <vt:variant>
        <vt:lpwstr/>
      </vt:variant>
      <vt:variant>
        <vt:i4>84</vt:i4>
      </vt:variant>
      <vt:variant>
        <vt:i4>15</vt:i4>
      </vt:variant>
      <vt:variant>
        <vt:i4>0</vt:i4>
      </vt:variant>
      <vt:variant>
        <vt:i4>5</vt:i4>
      </vt:variant>
      <vt:variant>
        <vt:lpwstr>https://www150.statcan.gc.ca/n1/pub/89-654-x/89-654-x2024002-eng.htm</vt:lpwstr>
      </vt:variant>
      <vt:variant>
        <vt:lpwstr/>
      </vt:variant>
      <vt:variant>
        <vt:i4>4456520</vt:i4>
      </vt:variant>
      <vt:variant>
        <vt:i4>12</vt:i4>
      </vt:variant>
      <vt:variant>
        <vt:i4>0</vt:i4>
      </vt:variant>
      <vt:variant>
        <vt:i4>5</vt:i4>
      </vt:variant>
      <vt:variant>
        <vt:lpwstr>https://www150.statcan.gc.ca/t1/tbl1/en/tv.action?pid=3710013502</vt:lpwstr>
      </vt:variant>
      <vt:variant>
        <vt:lpwstr/>
      </vt:variant>
      <vt:variant>
        <vt:i4>196692</vt:i4>
      </vt:variant>
      <vt:variant>
        <vt:i4>9</vt:i4>
      </vt:variant>
      <vt:variant>
        <vt:i4>0</vt:i4>
      </vt:variant>
      <vt:variant>
        <vt:i4>5</vt:i4>
      </vt:variant>
      <vt:variant>
        <vt:lpwstr>https://www150.statcan.gc.ca/n1/pub/89-654-x/89-654-x2024001-eng.htm</vt:lpwstr>
      </vt:variant>
      <vt:variant>
        <vt:lpwstr/>
      </vt:variant>
      <vt:variant>
        <vt:i4>7471152</vt:i4>
      </vt:variant>
      <vt:variant>
        <vt:i4>6</vt:i4>
      </vt:variant>
      <vt:variant>
        <vt:i4>0</vt:i4>
      </vt:variant>
      <vt:variant>
        <vt:i4>5</vt:i4>
      </vt:variant>
      <vt:variant>
        <vt:lpwstr>https://www.neads.ca/en/about/media/AccessibilityandAccommodation 2018-5landscapereport.pdf</vt:lpwstr>
      </vt:variant>
      <vt:variant>
        <vt:lpwstr/>
      </vt:variant>
      <vt:variant>
        <vt:i4>4915309</vt:i4>
      </vt:variant>
      <vt:variant>
        <vt:i4>3</vt:i4>
      </vt:variant>
      <vt:variant>
        <vt:i4>0</vt:i4>
      </vt:variant>
      <vt:variant>
        <vt:i4>5</vt:i4>
      </vt:variant>
      <vt:variant>
        <vt:lpwstr>https://heqco.ca/wp-content/uploads/2021/06/Postsecondary-Credential-Attainment-and-Labour-Market-Outcomes-for-Ontario-Students-with-Disabilities_FINAL.pdf</vt:lpwstr>
      </vt:variant>
      <vt:variant>
        <vt:lpwstr/>
      </vt:variant>
      <vt:variant>
        <vt:i4>196696</vt:i4>
      </vt:variant>
      <vt:variant>
        <vt:i4>0</vt:i4>
      </vt:variant>
      <vt:variant>
        <vt:i4>0</vt:i4>
      </vt:variant>
      <vt:variant>
        <vt:i4>5</vt:i4>
      </vt:variant>
      <vt:variant>
        <vt:lpwstr>https://www150.statcan.gc.ca/n1/pub/89-654-x/89-654-x2018002-eng.htm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 2023</dc:title>
  <dc:subject/>
  <dc:creator>Communications</dc:creator>
  <cp:keywords>DAF24q6MI_Q,BAD8_CG7tNU</cp:keywords>
  <cp:lastModifiedBy>Vanessa Sinclair</cp:lastModifiedBy>
  <cp:revision>151</cp:revision>
  <dcterms:created xsi:type="dcterms:W3CDTF">2026-04-17T21:43:00Z</dcterms:created>
  <dcterms:modified xsi:type="dcterms:W3CDTF">2026-06-25T15:54:00Z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0x010100C7049466ED47D84B82E788DEF7228A87</vt:lpwstr>
  </property>
  <property fmtid="{D5CDD505-2E9C-101B-9397-08002B2CF9AE}" pid="3" name="MediaServiceImageTags">
    <vt:lpwstr/>
  </property>
  <property fmtid="{D5CDD505-2E9C-101B-9397-08002B2CF9AE}" pid="4" name="docLang">
    <vt:lpwstr>en</vt:lpwstr>
  </property>
</Properties>
</file>